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CE1" w:rsidRDefault="00BB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FA7CE1" w:rsidRDefault="00BB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FA7CE1" w:rsidRDefault="00FA7CE1">
      <w:pPr>
        <w:jc w:val="center"/>
        <w:rPr>
          <w:b/>
          <w:sz w:val="28"/>
          <w:szCs w:val="28"/>
        </w:rPr>
      </w:pPr>
    </w:p>
    <w:p w:rsidR="00FA7CE1" w:rsidRDefault="00BB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FA7CE1" w:rsidRDefault="00BB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A7CE1" w:rsidRDefault="00FA7CE1">
      <w:pPr>
        <w:jc w:val="both"/>
        <w:rPr>
          <w:sz w:val="28"/>
          <w:szCs w:val="28"/>
        </w:rPr>
      </w:pPr>
    </w:p>
    <w:p w:rsidR="00FA7CE1" w:rsidRDefault="00BB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FA7CE1" w:rsidRDefault="00BB26E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FA7CE1" w:rsidRDefault="00FA7CE1">
      <w:pPr>
        <w:jc w:val="center"/>
        <w:rPr>
          <w:b/>
          <w:color w:val="000000"/>
          <w:sz w:val="28"/>
          <w:szCs w:val="28"/>
        </w:rPr>
      </w:pPr>
    </w:p>
    <w:p w:rsidR="00FA7CE1" w:rsidRDefault="00FA7CE1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FA7CE1">
        <w:tc>
          <w:tcPr>
            <w:tcW w:w="4503" w:type="dxa"/>
          </w:tcPr>
          <w:p w:rsidR="00FA7CE1" w:rsidRDefault="00FA7CE1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FA7CE1" w:rsidRDefault="00BB26E4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FA7CE1" w:rsidRDefault="00FA7CE1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FA7CE1" w:rsidRDefault="00BB26E4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FA7CE1" w:rsidRDefault="00BB26E4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FA7CE1" w:rsidRDefault="00FA7CE1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FA7CE1" w:rsidRDefault="00BB26E4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FA7CE1" w:rsidRDefault="00375F6C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BB26E4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="00BB26E4">
              <w:rPr>
                <w:sz w:val="28"/>
                <w:szCs w:val="28"/>
              </w:rPr>
              <w:t>г.</w:t>
            </w:r>
          </w:p>
          <w:p w:rsidR="00FA7CE1" w:rsidRDefault="00FA7CE1">
            <w:pPr>
              <w:widowControl w:val="0"/>
              <w:spacing w:line="480" w:lineRule="auto"/>
              <w:ind w:left="315" w:firstLine="290"/>
            </w:pPr>
          </w:p>
          <w:p w:rsidR="00FA7CE1" w:rsidRDefault="00FA7CE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FA7CE1" w:rsidRDefault="00FA7CE1">
      <w:pPr>
        <w:jc w:val="center"/>
        <w:rPr>
          <w:sz w:val="28"/>
          <w:szCs w:val="28"/>
          <w:highlight w:val="yellow"/>
        </w:rPr>
      </w:pPr>
    </w:p>
    <w:p w:rsidR="00FA7CE1" w:rsidRDefault="00BB26E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Максимов А.А., Лысенко А.А.</w:t>
      </w:r>
    </w:p>
    <w:p w:rsidR="00FA7CE1" w:rsidRDefault="00BB26E4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:rsidR="00FA7CE1" w:rsidRDefault="00BB26E4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bookmarkStart w:id="0" w:name="_Hlk128330671"/>
      <w:bookmarkEnd w:id="0"/>
      <w:r>
        <w:rPr>
          <w:b/>
          <w:sz w:val="28"/>
          <w:szCs w:val="28"/>
        </w:rPr>
        <w:t>УПРАВЛЕНИЕ КАЗНАЧЕЙСКИМИ РИСКАМИ</w:t>
      </w:r>
    </w:p>
    <w:p w:rsidR="00FA7CE1" w:rsidRDefault="00FA7CE1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</w:p>
    <w:p w:rsidR="00FA7CE1" w:rsidRDefault="00BB26E4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FA7CE1" w:rsidRDefault="00FA7CE1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FA7CE1" w:rsidRDefault="00BB26E4">
      <w:pPr>
        <w:jc w:val="center"/>
        <w:rPr>
          <w:rFonts w:eastAsia="Calibri"/>
          <w:iCs/>
          <w:sz w:val="28"/>
          <w:highlight w:val="yellow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38.03.01 </w:t>
      </w:r>
      <w:r>
        <w:rPr>
          <w:rFonts w:eastAsia="Calibri"/>
          <w:sz w:val="28"/>
          <w:szCs w:val="28"/>
        </w:rPr>
        <w:t xml:space="preserve">«Экономика», образовательная программа «Экономика и финансы» </w:t>
      </w:r>
    </w:p>
    <w:p w:rsidR="00FA7CE1" w:rsidRDefault="00BB26E4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профиль «Казначейское дело»</w:t>
      </w:r>
      <w:bookmarkStart w:id="1" w:name="_Hlk128330600"/>
      <w:bookmarkEnd w:id="1"/>
      <w:r>
        <w:rPr>
          <w:rFonts w:eastAsia="Calibri"/>
          <w:iCs/>
          <w:sz w:val="28"/>
          <w:szCs w:val="28"/>
          <w:lang w:eastAsia="zh-CN"/>
        </w:rPr>
        <w:t xml:space="preserve"> </w:t>
      </w:r>
    </w:p>
    <w:p w:rsidR="00FA7CE1" w:rsidRDefault="00FA7CE1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FA7CE1" w:rsidRDefault="00FA7CE1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FA7CE1" w:rsidRDefault="00BB26E4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FA7CE1" w:rsidRDefault="00BB26E4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(протокол № 35 от 20 июня 2023г.)</w:t>
      </w:r>
    </w:p>
    <w:p w:rsidR="00FA7CE1" w:rsidRDefault="00FA7CE1">
      <w:pPr>
        <w:widowControl w:val="0"/>
        <w:ind w:right="-428"/>
        <w:jc w:val="center"/>
        <w:rPr>
          <w:i/>
          <w:iCs/>
          <w:spacing w:val="-3"/>
          <w:sz w:val="28"/>
          <w:szCs w:val="28"/>
          <w:highlight w:val="yellow"/>
        </w:rPr>
      </w:pPr>
    </w:p>
    <w:p w:rsidR="00FA7CE1" w:rsidRDefault="00BB26E4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  <w:r>
        <w:rPr>
          <w:i/>
          <w:iCs/>
          <w:spacing w:val="-3"/>
          <w:sz w:val="28"/>
          <w:szCs w:val="28"/>
        </w:rPr>
        <w:br/>
        <w:t xml:space="preserve">Финансового факультета </w:t>
      </w:r>
    </w:p>
    <w:p w:rsidR="00FA7CE1" w:rsidRDefault="00BB26E4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(протокол №</w:t>
      </w:r>
      <w:r w:rsidRPr="00375F6C">
        <w:rPr>
          <w:i/>
          <w:iCs/>
          <w:spacing w:val="-3"/>
          <w:sz w:val="28"/>
          <w:szCs w:val="28"/>
        </w:rPr>
        <w:t xml:space="preserve"> 14 </w:t>
      </w:r>
      <w:r>
        <w:rPr>
          <w:i/>
          <w:iCs/>
          <w:spacing w:val="-3"/>
          <w:sz w:val="28"/>
          <w:szCs w:val="28"/>
        </w:rPr>
        <w:t>от</w:t>
      </w:r>
      <w:r w:rsidRPr="00375F6C">
        <w:rPr>
          <w:i/>
          <w:iCs/>
          <w:spacing w:val="-3"/>
          <w:sz w:val="28"/>
          <w:szCs w:val="28"/>
        </w:rPr>
        <w:t xml:space="preserve"> 29 мая </w:t>
      </w:r>
      <w:r>
        <w:rPr>
          <w:i/>
          <w:iCs/>
          <w:spacing w:val="-3"/>
          <w:sz w:val="28"/>
          <w:szCs w:val="28"/>
        </w:rPr>
        <w:t>2023 г.)</w:t>
      </w:r>
    </w:p>
    <w:p w:rsidR="00FA7CE1" w:rsidRDefault="00FA7CE1">
      <w:pPr>
        <w:jc w:val="center"/>
        <w:rPr>
          <w:i/>
          <w:sz w:val="28"/>
          <w:szCs w:val="28"/>
        </w:rPr>
      </w:pPr>
    </w:p>
    <w:p w:rsidR="00FA7CE1" w:rsidRDefault="00FA7CE1">
      <w:pPr>
        <w:jc w:val="center"/>
        <w:rPr>
          <w:i/>
          <w:sz w:val="28"/>
          <w:szCs w:val="28"/>
          <w:highlight w:val="yellow"/>
        </w:rPr>
      </w:pPr>
    </w:p>
    <w:p w:rsidR="00FA7CE1" w:rsidRDefault="00FA7CE1">
      <w:pPr>
        <w:jc w:val="center"/>
        <w:rPr>
          <w:i/>
          <w:sz w:val="28"/>
          <w:szCs w:val="28"/>
          <w:highlight w:val="yellow"/>
        </w:rPr>
      </w:pPr>
    </w:p>
    <w:p w:rsidR="00FA7CE1" w:rsidRDefault="00BB26E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2023</w:t>
      </w:r>
    </w:p>
    <w:p w:rsidR="00FA7CE1" w:rsidRDefault="00BB26E4">
      <w:pPr>
        <w:rPr>
          <w:b/>
          <w:sz w:val="28"/>
          <w:szCs w:val="28"/>
        </w:rPr>
      </w:pPr>
      <w:r>
        <w:br w:type="column"/>
      </w:r>
      <w:r>
        <w:rPr>
          <w:b/>
          <w:bCs/>
        </w:rPr>
        <w:lastRenderedPageBreak/>
        <w:t>УДК 336.148:330.131.7(073)</w:t>
      </w:r>
    </w:p>
    <w:p w:rsidR="00FA7CE1" w:rsidRDefault="00BB26E4">
      <w:pPr>
        <w:rPr>
          <w:b/>
          <w:bCs/>
        </w:rPr>
      </w:pPr>
      <w:r>
        <w:rPr>
          <w:b/>
          <w:bCs/>
        </w:rPr>
        <w:t>ББК 65.261.3-28-09я73</w:t>
      </w:r>
    </w:p>
    <w:p w:rsidR="00FA7CE1" w:rsidRDefault="00BB26E4">
      <w:pPr>
        <w:rPr>
          <w:b/>
          <w:bCs/>
        </w:rPr>
      </w:pPr>
      <w:r>
        <w:rPr>
          <w:b/>
          <w:bCs/>
        </w:rPr>
        <w:t>М 17</w:t>
      </w:r>
    </w:p>
    <w:p w:rsidR="00FA7CE1" w:rsidRDefault="00FA7CE1">
      <w:pPr>
        <w:widowControl w:val="0"/>
        <w:ind w:firstLine="709"/>
        <w:jc w:val="both"/>
        <w:rPr>
          <w:spacing w:val="-3"/>
          <w:highlight w:val="yellow"/>
        </w:rPr>
      </w:pPr>
    </w:p>
    <w:p w:rsidR="00FA7CE1" w:rsidRDefault="00FA7CE1">
      <w:pPr>
        <w:widowControl w:val="0"/>
        <w:ind w:firstLine="709"/>
        <w:jc w:val="both"/>
        <w:rPr>
          <w:spacing w:val="-3"/>
          <w:highlight w:val="yellow"/>
        </w:rPr>
      </w:pPr>
    </w:p>
    <w:p w:rsidR="00FA7CE1" w:rsidRDefault="00BB26E4">
      <w:pPr>
        <w:widowControl w:val="0"/>
        <w:jc w:val="both"/>
        <w:rPr>
          <w:spacing w:val="-3"/>
        </w:rPr>
      </w:pPr>
      <w:r>
        <w:rPr>
          <w:spacing w:val="-3"/>
        </w:rPr>
        <w:t>Рецензенты:</w:t>
      </w:r>
    </w:p>
    <w:p w:rsidR="00FA7CE1" w:rsidRDefault="00BB26E4">
      <w:pPr>
        <w:pStyle w:val="16"/>
        <w:ind w:firstLine="709"/>
        <w:jc w:val="both"/>
      </w:pPr>
      <w:r>
        <w:rPr>
          <w:rFonts w:ascii="Times New Roman" w:hAnsi="Times New Roman"/>
          <w:sz w:val="24"/>
          <w:szCs w:val="24"/>
        </w:rPr>
        <w:t>Ванькович И. М., кандидат экономических наук, доцент кафедры «Финансовый контроль и казначейское дело»;</w:t>
      </w:r>
    </w:p>
    <w:p w:rsidR="00FA7CE1" w:rsidRDefault="00BB26E4">
      <w:pPr>
        <w:pStyle w:val="16"/>
        <w:ind w:firstLine="709"/>
        <w:jc w:val="both"/>
      </w:pPr>
      <w:r>
        <w:rPr>
          <w:rFonts w:ascii="Times New Roman" w:hAnsi="Times New Roman"/>
          <w:sz w:val="24"/>
          <w:szCs w:val="24"/>
        </w:rPr>
        <w:t>Савина Н.В., доктор экономических наук, доцент, профессор кафедры «Финансовый контроль и казначейское дело».</w:t>
      </w:r>
    </w:p>
    <w:p w:rsidR="00FA7CE1" w:rsidRDefault="00FA7CE1">
      <w:pPr>
        <w:pStyle w:val="1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7CE1" w:rsidRDefault="00FA7CE1">
      <w:pPr>
        <w:pStyle w:val="16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A7CE1" w:rsidRPr="00375F6C" w:rsidRDefault="00BB26E4">
      <w:pPr>
        <w:jc w:val="both"/>
        <w:rPr>
          <w:rFonts w:eastAsiaTheme="minorEastAsia" w:cstheme="minorBidi"/>
          <w:b/>
          <w:bCs/>
          <w:sz w:val="28"/>
          <w:szCs w:val="28"/>
        </w:rPr>
      </w:pPr>
      <w:r w:rsidRPr="00375F6C">
        <w:rPr>
          <w:rFonts w:eastAsiaTheme="minorEastAsia" w:cstheme="minorBidi"/>
          <w:b/>
          <w:bCs/>
          <w:sz w:val="28"/>
          <w:szCs w:val="28"/>
        </w:rPr>
        <w:t>Максимов А.А., Лысенко А. А.</w:t>
      </w:r>
    </w:p>
    <w:p w:rsidR="00FA7CE1" w:rsidRPr="00375F6C" w:rsidRDefault="00BB26E4">
      <w:pPr>
        <w:shd w:val="clear" w:color="auto" w:fill="FFFFFF"/>
        <w:jc w:val="both"/>
        <w:rPr>
          <w:sz w:val="28"/>
          <w:szCs w:val="28"/>
          <w:highlight w:val="yellow"/>
        </w:rPr>
      </w:pPr>
      <w:r w:rsidRPr="00375F6C">
        <w:rPr>
          <w:b/>
          <w:sz w:val="28"/>
          <w:szCs w:val="28"/>
        </w:rPr>
        <w:t xml:space="preserve">Управление </w:t>
      </w:r>
      <w:r w:rsidRPr="00375F6C">
        <w:rPr>
          <w:b/>
          <w:sz w:val="28"/>
          <w:szCs w:val="28"/>
        </w:rPr>
        <w:t>казначейскими рисками</w:t>
      </w:r>
      <w:r w:rsidRPr="00375F6C"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 w:rsidRPr="00375F6C">
        <w:rPr>
          <w:rFonts w:eastAsia="Calibri"/>
          <w:color w:val="000000"/>
          <w:sz w:val="28"/>
          <w:szCs w:val="28"/>
        </w:rPr>
        <w:t>38.03.01 «Экономика</w:t>
      </w:r>
      <w:bookmarkStart w:id="2" w:name="_Hlk128332482"/>
      <w:r w:rsidRPr="00375F6C">
        <w:rPr>
          <w:rFonts w:eastAsia="Calibri"/>
          <w:color w:val="000000"/>
          <w:sz w:val="28"/>
          <w:szCs w:val="28"/>
        </w:rPr>
        <w:t>», образовательная программа «Экономика и финансы», профиль «Казначейское дело»</w:t>
      </w:r>
      <w:bookmarkEnd w:id="2"/>
      <w:r w:rsidRPr="00375F6C">
        <w:rPr>
          <w:sz w:val="28"/>
          <w:szCs w:val="28"/>
        </w:rPr>
        <w:t>. – М.: Финансовый университет, кафедра «Финансовый к</w:t>
      </w:r>
      <w:r w:rsidRPr="00375F6C">
        <w:rPr>
          <w:sz w:val="28"/>
          <w:szCs w:val="28"/>
        </w:rPr>
        <w:t xml:space="preserve">онтроль и казначейское дело, 2023 г. – 22 с. </w:t>
      </w:r>
    </w:p>
    <w:p w:rsidR="00FA7CE1" w:rsidRDefault="00FA7CE1">
      <w:pPr>
        <w:jc w:val="both"/>
        <w:rPr>
          <w:highlight w:val="yellow"/>
        </w:rPr>
      </w:pPr>
    </w:p>
    <w:p w:rsidR="00FA7CE1" w:rsidRDefault="00BB26E4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</w:t>
      </w:r>
      <w:r>
        <w:rPr>
          <w:bCs/>
          <w:spacing w:val="-1"/>
        </w:rPr>
        <w:t>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</w:t>
      </w:r>
      <w:r>
        <w:rPr>
          <w:bCs/>
        </w:rPr>
        <w:t>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FA7CE1" w:rsidRDefault="00FA7CE1">
      <w:pPr>
        <w:ind w:firstLine="709"/>
        <w:jc w:val="both"/>
      </w:pPr>
    </w:p>
    <w:p w:rsidR="00FA7CE1" w:rsidRDefault="00FA7CE1">
      <w:pPr>
        <w:spacing w:after="120"/>
        <w:jc w:val="center"/>
        <w:rPr>
          <w:bCs/>
          <w:i/>
          <w:sz w:val="28"/>
          <w:szCs w:val="28"/>
        </w:rPr>
      </w:pPr>
    </w:p>
    <w:p w:rsidR="00FA7CE1" w:rsidRDefault="00BB26E4">
      <w:pPr>
        <w:spacing w:after="12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Учебное издание</w:t>
      </w:r>
    </w:p>
    <w:p w:rsidR="00FA7CE1" w:rsidRDefault="00BB26E4">
      <w:pPr>
        <w:pStyle w:val="1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Максимо</w:t>
      </w:r>
      <w:r>
        <w:rPr>
          <w:rFonts w:ascii="Times New Roman" w:hAnsi="Times New Roman"/>
          <w:b/>
          <w:sz w:val="24"/>
          <w:szCs w:val="24"/>
        </w:rPr>
        <w:t>в А.А., Лысенко А. А.</w:t>
      </w:r>
    </w:p>
    <w:p w:rsidR="00FA7CE1" w:rsidRDefault="00BB26E4">
      <w:pPr>
        <w:spacing w:line="360" w:lineRule="auto"/>
        <w:jc w:val="center"/>
        <w:rPr>
          <w:b/>
          <w:bCs/>
        </w:rPr>
      </w:pPr>
      <w:r>
        <w:t>УПРАВЛЕНИЕ КАЗНАЧЕЙСКИМИ РИСКАМИ</w:t>
      </w:r>
    </w:p>
    <w:p w:rsidR="00FA7CE1" w:rsidRDefault="00BB26E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FA7CE1" w:rsidRDefault="00BB26E4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FA7CE1" w:rsidRDefault="00BB26E4">
      <w:pPr>
        <w:jc w:val="center"/>
        <w:rPr>
          <w:lang w:val="en-US"/>
        </w:rPr>
      </w:pPr>
      <w:r>
        <w:t>Формат 60х90/16. Гарнитура</w:t>
      </w:r>
      <w:r>
        <w:rPr>
          <w:lang w:val="en-US"/>
        </w:rPr>
        <w:t xml:space="preserve"> </w:t>
      </w:r>
      <w:r>
        <w:rPr>
          <w:i/>
          <w:lang w:val="en-US"/>
        </w:rPr>
        <w:t>Times New Roman</w:t>
      </w:r>
    </w:p>
    <w:p w:rsidR="00FA7CE1" w:rsidRDefault="00BB26E4">
      <w:pPr>
        <w:jc w:val="center"/>
      </w:pPr>
      <w:r>
        <w:t>Усл</w:t>
      </w:r>
      <w:r>
        <w:rPr>
          <w:lang w:val="en-US"/>
        </w:rPr>
        <w:t xml:space="preserve">. </w:t>
      </w:r>
      <w:r>
        <w:t>п</w:t>
      </w:r>
      <w:r>
        <w:rPr>
          <w:lang w:val="en-US"/>
        </w:rPr>
        <w:t>.</w:t>
      </w:r>
      <w:r>
        <w:t>л</w:t>
      </w:r>
      <w:r>
        <w:rPr>
          <w:lang w:val="en-US"/>
        </w:rPr>
        <w:t>. 1</w:t>
      </w:r>
      <w:r w:rsidRPr="00375F6C">
        <w:rPr>
          <w:lang w:val="en-US"/>
        </w:rPr>
        <w:t>,4</w:t>
      </w:r>
      <w:r>
        <w:rPr>
          <w:lang w:val="en-US"/>
        </w:rPr>
        <w:t xml:space="preserve">. </w:t>
      </w:r>
      <w:r>
        <w:t>Изд</w:t>
      </w:r>
      <w:r>
        <w:rPr>
          <w:lang w:val="en-US"/>
        </w:rPr>
        <w:t xml:space="preserve">. № 2023. </w:t>
      </w:r>
      <w:r>
        <w:t>Тираж экз.</w:t>
      </w:r>
    </w:p>
    <w:p w:rsidR="00FA7CE1" w:rsidRDefault="00FA7CE1">
      <w:pPr>
        <w:jc w:val="center"/>
        <w:rPr>
          <w:bCs/>
          <w:highlight w:val="yellow"/>
        </w:rPr>
      </w:pPr>
    </w:p>
    <w:p w:rsidR="00FA7CE1" w:rsidRDefault="00BB26E4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FA7CE1" w:rsidRDefault="00FA7CE1">
      <w:pPr>
        <w:jc w:val="center"/>
        <w:rPr>
          <w:bCs/>
          <w:highlight w:val="yellow"/>
        </w:rPr>
      </w:pPr>
    </w:p>
    <w:p w:rsidR="00FA7CE1" w:rsidRDefault="00FA7CE1">
      <w:pPr>
        <w:jc w:val="center"/>
        <w:rPr>
          <w:bCs/>
          <w:highlight w:val="yellow"/>
        </w:rPr>
      </w:pPr>
    </w:p>
    <w:p w:rsidR="00FA7CE1" w:rsidRDefault="00FA7CE1">
      <w:pPr>
        <w:jc w:val="center"/>
        <w:rPr>
          <w:bCs/>
          <w:highlight w:val="yellow"/>
        </w:rPr>
      </w:pPr>
    </w:p>
    <w:p w:rsidR="00FA7CE1" w:rsidRDefault="00FA7CE1">
      <w:pPr>
        <w:jc w:val="center"/>
        <w:rPr>
          <w:bCs/>
          <w:highlight w:val="yellow"/>
        </w:rPr>
      </w:pPr>
    </w:p>
    <w:p w:rsidR="00FA7CE1" w:rsidRDefault="00FA7CE1">
      <w:pPr>
        <w:jc w:val="center"/>
        <w:rPr>
          <w:bCs/>
          <w:highlight w:val="yellow"/>
        </w:rPr>
      </w:pPr>
    </w:p>
    <w:p w:rsidR="00FA7CE1" w:rsidRDefault="00BB26E4">
      <w:pPr>
        <w:jc w:val="right"/>
        <w:rPr>
          <w:b/>
        </w:rPr>
      </w:pPr>
      <w:r>
        <w:rPr>
          <w:b/>
        </w:rPr>
        <w:t xml:space="preserve">© Максимов А.А., </w:t>
      </w:r>
      <w:r>
        <w:rPr>
          <w:b/>
        </w:rPr>
        <w:t>Лысенко А.А. 2023</w:t>
      </w:r>
    </w:p>
    <w:p w:rsidR="00FA7CE1" w:rsidRDefault="00BB26E4">
      <w:pPr>
        <w:pStyle w:val="1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© Финансовый университет, 2023</w:t>
      </w:r>
    </w:p>
    <w:p w:rsidR="00FA7CE1" w:rsidRDefault="00BB26E4">
      <w:pPr>
        <w:pStyle w:val="16"/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>
        <w:br w:type="column"/>
      </w:r>
    </w:p>
    <w:p w:rsidR="00FA7CE1" w:rsidRDefault="00BB26E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Style w:val="affff4"/>
        <w:tblW w:w="9889" w:type="dxa"/>
        <w:tblLayout w:type="fixed"/>
        <w:tblLook w:val="04A0" w:firstRow="1" w:lastRow="0" w:firstColumn="1" w:lastColumn="0" w:noHBand="0" w:noVBand="1"/>
      </w:tblPr>
      <w:tblGrid>
        <w:gridCol w:w="850"/>
        <w:gridCol w:w="8328"/>
        <w:gridCol w:w="711"/>
      </w:tblGrid>
      <w:tr w:rsidR="00FA7CE1">
        <w:trPr>
          <w:trHeight w:val="312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1.</w:t>
            </w:r>
          </w:p>
        </w:tc>
        <w:tc>
          <w:tcPr>
            <w:tcW w:w="8328" w:type="dxa"/>
            <w:vAlign w:val="bottom"/>
          </w:tcPr>
          <w:p w:rsidR="00FA7CE1" w:rsidRDefault="00FA7CE1">
            <w:pPr>
              <w:widowControl w:val="0"/>
            </w:pPr>
          </w:p>
          <w:p w:rsidR="00FA7CE1" w:rsidRDefault="00BB26E4">
            <w:pPr>
              <w:widowControl w:val="0"/>
            </w:pPr>
            <w:r>
              <w:t>Наименование дисциплины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widowControl w:val="0"/>
            </w:pPr>
            <w:r>
              <w:t>4</w:t>
            </w:r>
          </w:p>
        </w:tc>
      </w:tr>
      <w:tr w:rsidR="00FA7CE1">
        <w:trPr>
          <w:trHeight w:val="947"/>
        </w:trPr>
        <w:tc>
          <w:tcPr>
            <w:tcW w:w="850" w:type="dxa"/>
            <w:shd w:val="clear" w:color="auto" w:fill="auto"/>
            <w:vAlign w:val="bottom"/>
          </w:tcPr>
          <w:p w:rsidR="00FA7CE1" w:rsidRDefault="00BB26E4">
            <w:pPr>
              <w:widowControl w:val="0"/>
            </w:pPr>
            <w:r>
              <w:t>2.</w:t>
            </w:r>
          </w:p>
        </w:tc>
        <w:tc>
          <w:tcPr>
            <w:tcW w:w="8328" w:type="dxa"/>
            <w:shd w:val="clear" w:color="auto" w:fill="auto"/>
            <w:vAlign w:val="bottom"/>
          </w:tcPr>
          <w:p w:rsidR="00FA7CE1" w:rsidRDefault="00BB26E4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      </w:r>
            <w:r>
              <w:rPr>
                <w:rFonts w:ascii="Times New Roman" w:hAnsi="Times New Roman" w:cs="Times New Roman"/>
                <w:color w:val="auto"/>
              </w:rPr>
              <w:t>обучения по дисциплине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FA7CE1">
        <w:trPr>
          <w:trHeight w:val="625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3.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widowControl w:val="0"/>
            </w:pPr>
            <w:r>
              <w:rPr>
                <w:iCs/>
              </w:rPr>
              <w:t>Место дисциплины в структуре основной образовательной программы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widowControl w:val="0"/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FA7CE1">
        <w:trPr>
          <w:trHeight w:val="947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4.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widowControl w:val="0"/>
              <w:jc w:val="both"/>
            </w:pPr>
            <w: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widowControl w:val="0"/>
              <w:jc w:val="both"/>
            </w:pPr>
            <w:r>
              <w:t>6</w:t>
            </w:r>
          </w:p>
        </w:tc>
      </w:tr>
      <w:tr w:rsidR="00FA7CE1">
        <w:trPr>
          <w:trHeight w:val="937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5.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widowControl w:val="0"/>
              <w:jc w:val="both"/>
            </w:pPr>
            <w: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widowControl w:val="0"/>
              <w:jc w:val="both"/>
            </w:pPr>
            <w:r>
              <w:t>6</w:t>
            </w:r>
          </w:p>
        </w:tc>
      </w:tr>
      <w:tr w:rsidR="00FA7CE1">
        <w:trPr>
          <w:trHeight w:val="635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6.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10</w:t>
            </w:r>
          </w:p>
        </w:tc>
      </w:tr>
      <w:tr w:rsidR="00FA7CE1">
        <w:trPr>
          <w:trHeight w:val="625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7.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widowControl w:val="0"/>
              <w:jc w:val="both"/>
              <w:outlineLvl w:val="0"/>
            </w:pPr>
            <w:r>
              <w:t xml:space="preserve">Фонд оценочных </w:t>
            </w:r>
            <w:r>
              <w:t>средств для проведения промежуточной аттестации обучающихся по дисциплине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widowControl w:val="0"/>
              <w:jc w:val="both"/>
              <w:outlineLvl w:val="0"/>
            </w:pPr>
            <w:r>
              <w:t>14</w:t>
            </w:r>
          </w:p>
        </w:tc>
      </w:tr>
      <w:tr w:rsidR="00FA7CE1">
        <w:trPr>
          <w:trHeight w:val="462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8.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19</w:t>
            </w:r>
          </w:p>
        </w:tc>
      </w:tr>
      <w:tr w:rsidR="00FA7CE1">
        <w:trPr>
          <w:trHeight w:val="625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9.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</w:pPr>
            <w:r>
              <w:t xml:space="preserve">Перечень ресурсов информационно-телекоммуникационной сети «Интернет», </w:t>
            </w:r>
            <w:r>
              <w:t>необходимых для освоения дисциплины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</w:pPr>
            <w:r>
              <w:t>20</w:t>
            </w:r>
          </w:p>
        </w:tc>
      </w:tr>
      <w:tr w:rsidR="00FA7CE1">
        <w:trPr>
          <w:trHeight w:val="625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10.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21</w:t>
            </w:r>
          </w:p>
        </w:tc>
      </w:tr>
      <w:tr w:rsidR="00FA7CE1">
        <w:trPr>
          <w:trHeight w:val="1260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11.</w:t>
            </w:r>
          </w:p>
        </w:tc>
        <w:tc>
          <w:tcPr>
            <w:tcW w:w="8328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</w:t>
            </w:r>
            <w:r>
              <w:t>программного обеспечения и информационных справочных систем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21</w:t>
            </w:r>
          </w:p>
        </w:tc>
      </w:tr>
      <w:tr w:rsidR="00FA7CE1">
        <w:trPr>
          <w:trHeight w:val="150"/>
        </w:trPr>
        <w:tc>
          <w:tcPr>
            <w:tcW w:w="850" w:type="dxa"/>
            <w:vAlign w:val="bottom"/>
          </w:tcPr>
          <w:p w:rsidR="00FA7CE1" w:rsidRDefault="00BB26E4">
            <w:pPr>
              <w:widowControl w:val="0"/>
            </w:pPr>
            <w:r>
              <w:t>12.</w:t>
            </w:r>
          </w:p>
        </w:tc>
        <w:tc>
          <w:tcPr>
            <w:tcW w:w="8328" w:type="dxa"/>
            <w:vAlign w:val="bottom"/>
          </w:tcPr>
          <w:p w:rsidR="00FA7CE1" w:rsidRDefault="00FA7CE1">
            <w:pPr>
              <w:pStyle w:val="afff"/>
              <w:widowControl w:val="0"/>
              <w:spacing w:before="280" w:beforeAutospacing="0" w:after="280" w:afterAutospacing="0"/>
              <w:jc w:val="both"/>
            </w:pPr>
          </w:p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11" w:type="dxa"/>
            <w:vAlign w:val="bottom"/>
          </w:tcPr>
          <w:p w:rsidR="00FA7CE1" w:rsidRDefault="00BB26E4">
            <w:pPr>
              <w:pStyle w:val="afff"/>
              <w:widowControl w:val="0"/>
              <w:spacing w:before="280" w:beforeAutospacing="0" w:after="280" w:afterAutospacing="0"/>
              <w:jc w:val="both"/>
            </w:pPr>
            <w:r>
              <w:t>22</w:t>
            </w:r>
          </w:p>
        </w:tc>
      </w:tr>
    </w:tbl>
    <w:p w:rsidR="00FA7CE1" w:rsidRDefault="00BB26E4">
      <w:pPr>
        <w:rPr>
          <w:highlight w:val="yellow"/>
        </w:rPr>
      </w:pPr>
      <w:r>
        <w:br w:type="page"/>
      </w:r>
    </w:p>
    <w:p w:rsidR="00FA7CE1" w:rsidRDefault="00BB26E4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bookmarkStart w:id="3" w:name="_Toc324441753"/>
      <w:bookmarkStart w:id="4" w:name="_Toc13770892"/>
      <w:bookmarkEnd w:id="3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«Управление казначейскими рисками»</w:t>
      </w:r>
      <w:bookmarkEnd w:id="4"/>
      <w:r>
        <w:rPr>
          <w:sz w:val="28"/>
          <w:szCs w:val="28"/>
        </w:rPr>
        <w:t xml:space="preserve">. </w:t>
      </w:r>
    </w:p>
    <w:p w:rsidR="00FA7CE1" w:rsidRDefault="00FA7CE1">
      <w:pPr>
        <w:spacing w:line="276" w:lineRule="auto"/>
        <w:rPr>
          <w:highlight w:val="yellow"/>
        </w:rPr>
      </w:pPr>
    </w:p>
    <w:p w:rsidR="00FA7CE1" w:rsidRDefault="00BB26E4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5" w:name="_Toc3244417531"/>
      <w:bookmarkStart w:id="6" w:name="_Toc13770893"/>
      <w:bookmarkEnd w:id="5"/>
      <w:r>
        <w:rPr>
          <w:b/>
          <w:sz w:val="28"/>
          <w:szCs w:val="28"/>
        </w:rPr>
        <w:t xml:space="preserve">2. </w:t>
      </w:r>
      <w:bookmarkEnd w:id="6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FA7CE1" w:rsidRDefault="00BB26E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</w:t>
      </w:r>
      <w:r>
        <w:rPr>
          <w:iCs/>
          <w:sz w:val="28"/>
          <w:szCs w:val="28"/>
        </w:rPr>
        <w:t>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29"/>
        <w:tblW w:w="9639" w:type="dxa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3403"/>
        <w:gridCol w:w="3689"/>
      </w:tblGrid>
      <w:tr w:rsidR="00FA7CE1">
        <w:tc>
          <w:tcPr>
            <w:tcW w:w="987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1559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3403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3689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A7CE1">
        <w:trPr>
          <w:trHeight w:val="171"/>
        </w:trPr>
        <w:tc>
          <w:tcPr>
            <w:tcW w:w="987" w:type="dxa"/>
            <w:vMerge w:val="restart"/>
          </w:tcPr>
          <w:p w:rsidR="00FA7CE1" w:rsidRDefault="00BB26E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УК-10</w:t>
            </w:r>
          </w:p>
        </w:tc>
        <w:tc>
          <w:tcPr>
            <w:tcW w:w="1559" w:type="dxa"/>
            <w:vMerge w:val="restart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Способность о</w:t>
            </w:r>
            <w:r>
              <w:rPr>
                <w:sz w:val="22"/>
                <w:szCs w:val="22"/>
                <w:lang w:eastAsia="en-US"/>
              </w:rPr>
              <w:t>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sz w:val="22"/>
                <w:szCs w:val="22"/>
                <w:lang w:eastAsia="en-US"/>
              </w:rPr>
              <w:tab/>
              <w:t xml:space="preserve"> </w:t>
            </w: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  <w:r>
              <w:rPr>
                <w:sz w:val="22"/>
                <w:szCs w:val="22"/>
                <w:lang w:eastAsia="en-US"/>
              </w:rPr>
              <w:tab/>
            </w:r>
            <w:r>
              <w:rPr>
                <w:sz w:val="22"/>
                <w:szCs w:val="22"/>
                <w:lang w:eastAsia="en-US"/>
              </w:rPr>
              <w:tab/>
              <w:t xml:space="preserve"> </w:t>
            </w: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  <w:r>
              <w:rPr>
                <w:sz w:val="22"/>
                <w:szCs w:val="22"/>
                <w:lang w:eastAsia="en-US"/>
              </w:rPr>
              <w:tab/>
            </w:r>
          </w:p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 Четко описывает состав и структуру требуемых данных и информации, грамотно реализует процессы </w:t>
            </w:r>
            <w:r>
              <w:rPr>
                <w:rFonts w:eastAsia="Calibri"/>
                <w:sz w:val="22"/>
                <w:szCs w:val="22"/>
                <w:lang w:eastAsia="en-US"/>
              </w:rPr>
              <w:t>их сбора, обработки и интерпретации</w:t>
            </w:r>
          </w:p>
        </w:tc>
        <w:tc>
          <w:tcPr>
            <w:tcW w:w="3689" w:type="dxa"/>
          </w:tcPr>
          <w:p w:rsidR="00FA7CE1" w:rsidRDefault="00BB26E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современные подходы управления казначейскими рисками.</w:t>
            </w: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Уметь: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реализовать сбор, обработку и интерпретацию данных для управления казначейскими рисками.</w:t>
            </w:r>
          </w:p>
        </w:tc>
      </w:tr>
      <w:tr w:rsidR="00FA7CE1">
        <w:trPr>
          <w:trHeight w:val="1130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 Обосновывает сущность происходящего, выявляет </w:t>
            </w:r>
            <w:r>
              <w:rPr>
                <w:rFonts w:eastAsia="Calibri"/>
                <w:sz w:val="22"/>
                <w:szCs w:val="22"/>
                <w:lang w:eastAsia="en-US"/>
              </w:rPr>
              <w:t>закономерности, понимает природу вариабельности</w:t>
            </w:r>
          </w:p>
        </w:tc>
        <w:tc>
          <w:tcPr>
            <w:tcW w:w="3689" w:type="dxa"/>
          </w:tcPr>
          <w:p w:rsidR="00FA7CE1" w:rsidRDefault="00BB26E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направления развития системы управления казначейскими рисками в организациях государственного и корпоративного сектора.</w:t>
            </w: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Уметь: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выявлять закономерности и понимать природу вариабельности системы управлен</w:t>
            </w:r>
            <w:r>
              <w:rPr>
                <w:sz w:val="22"/>
                <w:szCs w:val="22"/>
                <w:lang w:eastAsia="en-US"/>
              </w:rPr>
              <w:t>ия казначейскими рисками.</w:t>
            </w:r>
          </w:p>
        </w:tc>
      </w:tr>
      <w:tr w:rsidR="00FA7CE1">
        <w:trPr>
          <w:trHeight w:val="2168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t>классификационных групп.</w:t>
            </w:r>
          </w:p>
        </w:tc>
        <w:tc>
          <w:tcPr>
            <w:tcW w:w="3689" w:type="dxa"/>
          </w:tcPr>
          <w:p w:rsidR="00FA7CE1" w:rsidRDefault="00BB26E4">
            <w:pPr>
              <w:pStyle w:val="western"/>
              <w:suppressAutoHyphens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способы идентификации, анализа и оценки казначейских рисков в деятельности субъектов государственного и корпоративного секторов экономики.</w:t>
            </w:r>
          </w:p>
          <w:p w:rsidR="00FA7CE1" w:rsidRDefault="00BB26E4">
            <w:pPr>
              <w:pStyle w:val="western"/>
              <w:suppressAutoHyphens/>
              <w:spacing w:beforeAutospacing="0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Уметь:</w:t>
            </w:r>
            <w:r>
              <w:rPr>
                <w:sz w:val="22"/>
                <w:szCs w:val="22"/>
                <w:lang w:eastAsia="en-US"/>
              </w:rPr>
              <w:t xml:space="preserve"> реализовать мероприятия по исследованию казначейских рисков в деятельности суб</w:t>
            </w:r>
            <w:r>
              <w:rPr>
                <w:sz w:val="22"/>
                <w:szCs w:val="22"/>
                <w:lang w:eastAsia="en-US"/>
              </w:rPr>
              <w:t>ъектов государственного и корпоративного секторов экономики.</w:t>
            </w:r>
          </w:p>
        </w:tc>
      </w:tr>
      <w:tr w:rsidR="00FA7CE1">
        <w:trPr>
          <w:trHeight w:val="70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689" w:type="dxa"/>
          </w:tcPr>
          <w:p w:rsidR="00FA7CE1" w:rsidRDefault="00BB26E4">
            <w:pPr>
              <w:pStyle w:val="western"/>
              <w:suppressAutoHyphens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eastAsia="en-US"/>
              </w:rPr>
              <w:t>одержательные характеристики категории и видов казначейских рисков.</w:t>
            </w:r>
          </w:p>
          <w:p w:rsidR="00FA7CE1" w:rsidRDefault="00BB26E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Уметь: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формировать суждения по результатам оценки казначейских рисков.</w:t>
            </w:r>
          </w:p>
          <w:p w:rsidR="00FA7CE1" w:rsidRDefault="00FA7CE1">
            <w:pPr>
              <w:widowControl w:val="0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FA7CE1">
        <w:trPr>
          <w:trHeight w:val="1527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9" w:type="dxa"/>
          </w:tcPr>
          <w:p w:rsidR="00FA7CE1" w:rsidRDefault="00BB26E4">
            <w:pPr>
              <w:widowControl w:val="0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sz w:val="22"/>
                <w:szCs w:val="22"/>
                <w:lang w:eastAsia="en-US"/>
              </w:rPr>
              <w:t xml:space="preserve"> содержательных аспектов планирования, исполнения и реализации результатов мероприятий по управлению казначейскими рисками.</w:t>
            </w:r>
          </w:p>
          <w:p w:rsidR="00FA7CE1" w:rsidRDefault="00BB26E4">
            <w:pPr>
              <w:pStyle w:val="western"/>
              <w:suppressAutoHyphens/>
              <w:spacing w:beforeAutospacing="0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Уметь: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формировать предложения и рекомендации по результатам управления казначейскими рисками.</w:t>
            </w:r>
          </w:p>
        </w:tc>
      </w:tr>
      <w:tr w:rsidR="00FA7CE1">
        <w:trPr>
          <w:trHeight w:val="1550"/>
        </w:trPr>
        <w:tc>
          <w:tcPr>
            <w:tcW w:w="987" w:type="dxa"/>
            <w:vMerge w:val="restart"/>
          </w:tcPr>
          <w:p w:rsidR="00FA7CE1" w:rsidRDefault="00BB26E4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ПКН-4</w:t>
            </w:r>
          </w:p>
        </w:tc>
        <w:tc>
          <w:tcPr>
            <w:tcW w:w="1559" w:type="dxa"/>
            <w:vMerge w:val="restart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eastAsia="en-US"/>
              </w:rPr>
              <w:t>Способность оценивать показате</w:t>
            </w:r>
            <w:r>
              <w:rPr>
                <w:sz w:val="22"/>
                <w:szCs w:val="22"/>
                <w:lang w:eastAsia="en-US"/>
              </w:rPr>
              <w:t>ли деятельности экономических субъектов</w:t>
            </w: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689" w:type="dxa"/>
          </w:tcPr>
          <w:p w:rsidR="00FA7CE1" w:rsidRDefault="00BB26E4">
            <w:pPr>
              <w:widowControl w:val="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bCs/>
                <w:sz w:val="22"/>
                <w:szCs w:val="22"/>
                <w:lang w:eastAsia="en-US"/>
              </w:rPr>
              <w:t>внешние и внутренние источники информации для идентификации и оценки казначейских рисков.</w:t>
            </w:r>
          </w:p>
          <w:p w:rsidR="00FA7CE1" w:rsidRDefault="00BB26E4">
            <w:pPr>
              <w:pStyle w:val="western"/>
              <w:suppressAutoHyphens/>
              <w:spacing w:beforeAutospacing="0"/>
              <w:rPr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Уметь:</w:t>
            </w:r>
            <w:r>
              <w:rPr>
                <w:bCs/>
                <w:sz w:val="22"/>
                <w:szCs w:val="22"/>
                <w:lang w:eastAsia="en-US"/>
              </w:rPr>
              <w:t xml:space="preserve"> осуществлять сбор и обработку финансово-экономической информации для целей управления казначейскими рисками.</w:t>
            </w:r>
          </w:p>
        </w:tc>
      </w:tr>
      <w:tr w:rsidR="00FA7CE1">
        <w:trPr>
          <w:trHeight w:val="453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 Рассчитывает и интерпретирует </w:t>
            </w:r>
            <w:r>
              <w:rPr>
                <w:rFonts w:eastAsia="Calibri"/>
                <w:sz w:val="22"/>
                <w:szCs w:val="22"/>
                <w:lang w:eastAsia="en-US"/>
              </w:rPr>
              <w:t>показатели деятельности экономических субъектов.</w:t>
            </w:r>
          </w:p>
        </w:tc>
        <w:tc>
          <w:tcPr>
            <w:tcW w:w="3689" w:type="dxa"/>
          </w:tcPr>
          <w:p w:rsidR="00FA7CE1" w:rsidRDefault="00BB26E4">
            <w:pPr>
              <w:pStyle w:val="western"/>
              <w:suppressAutoHyphens/>
              <w:rPr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bCs/>
                <w:sz w:val="22"/>
                <w:szCs w:val="22"/>
                <w:lang w:eastAsia="en-US"/>
              </w:rPr>
              <w:t xml:space="preserve"> инструментарий обработки финансово-экономической информации, применяемого для управления казначейскими рисками.</w:t>
            </w:r>
          </w:p>
          <w:p w:rsidR="00FA7CE1" w:rsidRDefault="00BB26E4">
            <w:pPr>
              <w:widowControl w:val="0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bCs/>
                <w:sz w:val="22"/>
                <w:szCs w:val="22"/>
                <w:lang w:eastAsia="en-US"/>
              </w:rPr>
              <w:t xml:space="preserve">интерпретировать финансово-экономические показатели для решения профессиональных </w:t>
            </w:r>
            <w:r>
              <w:rPr>
                <w:bCs/>
                <w:sz w:val="22"/>
                <w:szCs w:val="22"/>
                <w:lang w:eastAsia="en-US"/>
              </w:rPr>
              <w:t>задач.</w:t>
            </w:r>
          </w:p>
        </w:tc>
      </w:tr>
      <w:tr w:rsidR="00FA7CE1">
        <w:trPr>
          <w:trHeight w:val="611"/>
        </w:trPr>
        <w:tc>
          <w:tcPr>
            <w:tcW w:w="987" w:type="dxa"/>
            <w:vMerge w:val="restart"/>
          </w:tcPr>
          <w:p w:rsidR="00FA7CE1" w:rsidRDefault="00BB26E4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eastAsia="en-US"/>
              </w:rPr>
              <w:t>ПКП-4</w:t>
            </w:r>
          </w:p>
        </w:tc>
        <w:tc>
          <w:tcPr>
            <w:tcW w:w="1559" w:type="dxa"/>
            <w:vMerge w:val="restart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eastAsia="en-US"/>
              </w:rPr>
              <w:t>Способность управления казначейскими рисками</w:t>
            </w: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 Владеет приемами идентификации казначейских рисков.</w:t>
            </w:r>
          </w:p>
        </w:tc>
        <w:tc>
          <w:tcPr>
            <w:tcW w:w="3689" w:type="dxa"/>
          </w:tcPr>
          <w:p w:rsidR="00FA7CE1" w:rsidRDefault="00BB26E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особенности и способы идентификации казначейских рисков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FA7CE1" w:rsidRDefault="00BB26E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 xml:space="preserve">спользовать инструменты идентификации, обобщения и анализа </w:t>
            </w:r>
            <w:r>
              <w:rPr>
                <w:sz w:val="22"/>
                <w:szCs w:val="22"/>
                <w:lang w:eastAsia="en-US"/>
              </w:rPr>
              <w:t>казначейских рисков.</w:t>
            </w:r>
          </w:p>
        </w:tc>
      </w:tr>
      <w:tr w:rsidR="00FA7CE1">
        <w:trPr>
          <w:trHeight w:val="70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 Применяет методику оценки казначейских рисков.</w:t>
            </w:r>
          </w:p>
        </w:tc>
        <w:tc>
          <w:tcPr>
            <w:tcW w:w="3689" w:type="dxa"/>
          </w:tcPr>
          <w:p w:rsidR="00FA7CE1" w:rsidRDefault="00BB26E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методику оценки казначейских рисков. </w:t>
            </w:r>
          </w:p>
          <w:p w:rsidR="00FA7CE1" w:rsidRDefault="00BB26E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r>
              <w:rPr>
                <w:sz w:val="22"/>
                <w:szCs w:val="22"/>
                <w:lang w:eastAsia="en-US"/>
              </w:rPr>
              <w:t>рименять методику оценки казначейских рисков для решения профессиональных задач.</w:t>
            </w:r>
          </w:p>
        </w:tc>
      </w:tr>
      <w:tr w:rsidR="00FA7CE1">
        <w:trPr>
          <w:trHeight w:val="70"/>
        </w:trPr>
        <w:tc>
          <w:tcPr>
            <w:tcW w:w="987" w:type="dxa"/>
            <w:vMerge/>
          </w:tcPr>
          <w:p w:rsidR="00FA7CE1" w:rsidRDefault="00FA7CE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</w:tcPr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3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 Обосновывает решения по повышению </w:t>
            </w:r>
            <w:r>
              <w:rPr>
                <w:rFonts w:eastAsia="Calibri"/>
                <w:sz w:val="22"/>
                <w:szCs w:val="22"/>
                <w:lang w:eastAsia="en-US"/>
              </w:rPr>
              <w:t>эффективности управления казначейскими рисками.</w:t>
            </w:r>
          </w:p>
        </w:tc>
        <w:tc>
          <w:tcPr>
            <w:tcW w:w="3689" w:type="dxa"/>
          </w:tcPr>
          <w:p w:rsidR="00FA7CE1" w:rsidRDefault="00BB26E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sz w:val="22"/>
                <w:szCs w:val="22"/>
                <w:lang w:eastAsia="en-US"/>
              </w:rPr>
              <w:t>н</w:t>
            </w:r>
            <w:r>
              <w:rPr>
                <w:sz w:val="22"/>
                <w:szCs w:val="22"/>
                <w:lang w:eastAsia="en-US"/>
              </w:rPr>
              <w:t>аправления повышения эффективности управления казначейскими рисками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FA7CE1" w:rsidRDefault="00BB26E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eastAsia="en-US"/>
              </w:rPr>
              <w:t>обирать, обобщать и анализировать информацию для управления казначейскими рисками.</w:t>
            </w:r>
          </w:p>
        </w:tc>
      </w:tr>
    </w:tbl>
    <w:p w:rsidR="00FA7CE1" w:rsidRDefault="00BB26E4">
      <w:pPr>
        <w:pStyle w:val="1"/>
        <w:spacing w:before="240"/>
        <w:ind w:firstLine="709"/>
        <w:jc w:val="both"/>
        <w:rPr>
          <w:b/>
          <w:bCs/>
          <w:i/>
          <w:sz w:val="28"/>
          <w:szCs w:val="28"/>
        </w:rPr>
      </w:pPr>
      <w:bookmarkStart w:id="7" w:name="_Toc324441754"/>
      <w:r>
        <w:rPr>
          <w:b/>
          <w:bCs/>
          <w:sz w:val="28"/>
          <w:szCs w:val="28"/>
        </w:rPr>
        <w:t>3.</w:t>
      </w:r>
      <w:bookmarkEnd w:id="7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</w:t>
      </w:r>
      <w:r>
        <w:rPr>
          <w:b/>
          <w:iCs/>
          <w:sz w:val="28"/>
          <w:szCs w:val="28"/>
        </w:rPr>
        <w:t>й образовательной программы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>
        <w:rPr>
          <w:rFonts w:eastAsiaTheme="minorEastAsia" w:cstheme="minorBidi"/>
          <w:b/>
          <w:bCs/>
          <w:i/>
          <w:sz w:val="28"/>
        </w:rPr>
        <w:t>Управление казначейскими рисками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к части, формируемой участниками образовательных отношений, циклу профиля </w:t>
      </w:r>
      <w:r>
        <w:rPr>
          <w:sz w:val="28"/>
          <w:szCs w:val="28"/>
        </w:rPr>
        <w:t xml:space="preserve">«Казначейское дело» для направления подготовки </w:t>
      </w:r>
      <w:r>
        <w:rPr>
          <w:rFonts w:eastAsia="Calibri"/>
          <w:color w:val="000000"/>
          <w:sz w:val="28"/>
          <w:szCs w:val="28"/>
        </w:rPr>
        <w:t xml:space="preserve">38.03.01 «Экономика», образовательная </w:t>
      </w:r>
      <w:r>
        <w:rPr>
          <w:rFonts w:eastAsia="Calibri"/>
          <w:color w:val="000000"/>
          <w:sz w:val="28"/>
          <w:szCs w:val="28"/>
        </w:rPr>
        <w:t>программа «Экономика и финансы», профиль «Казначейское дело»</w:t>
      </w:r>
      <w:r>
        <w:rPr>
          <w:sz w:val="28"/>
          <w:szCs w:val="28"/>
        </w:rPr>
        <w:t>.</w:t>
      </w:r>
      <w:r>
        <w:rPr>
          <w:sz w:val="25"/>
          <w:szCs w:val="25"/>
        </w:rPr>
        <w:t xml:space="preserve"> </w:t>
      </w:r>
      <w:r>
        <w:rPr>
          <w:sz w:val="28"/>
          <w:szCs w:val="28"/>
        </w:rPr>
        <w:t xml:space="preserve">Дисциплина способствует формированию у студентов теоретических знаний и практических навыков по управлению казначейскими рисками. </w:t>
      </w:r>
    </w:p>
    <w:p w:rsidR="00FA7CE1" w:rsidRDefault="00FA7CE1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FA7CE1" w:rsidRDefault="00BB26E4">
      <w:pPr>
        <w:pStyle w:val="1"/>
        <w:ind w:firstLine="709"/>
        <w:jc w:val="both"/>
        <w:rPr>
          <w:b/>
          <w:sz w:val="28"/>
          <w:szCs w:val="28"/>
        </w:rPr>
      </w:pPr>
      <w:bookmarkStart w:id="8" w:name="_Toc326701974"/>
      <w:bookmarkStart w:id="9" w:name="_Toc324441756"/>
      <w:bookmarkStart w:id="10" w:name="_Toc13770895"/>
      <w:r>
        <w:rPr>
          <w:b/>
          <w:bCs/>
          <w:sz w:val="28"/>
          <w:szCs w:val="28"/>
        </w:rPr>
        <w:lastRenderedPageBreak/>
        <w:t>4.</w:t>
      </w:r>
      <w:bookmarkEnd w:id="8"/>
      <w:bookmarkEnd w:id="9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Объем дисциплины в зачетных единицах и академических часах </w:t>
      </w:r>
      <w:r>
        <w:rPr>
          <w:b/>
          <w:sz w:val="28"/>
          <w:szCs w:val="28"/>
        </w:rPr>
        <w:t>с выделением объема аудиторной (лекции, семинары) и самостоятельной работы обучающихся</w:t>
      </w:r>
      <w:bookmarkEnd w:id="10"/>
    </w:p>
    <w:p w:rsidR="00FA7CE1" w:rsidRDefault="00BB26E4">
      <w:pPr>
        <w:jc w:val="right"/>
        <w:rPr>
          <w:sz w:val="28"/>
          <w:szCs w:val="28"/>
          <w:lang w:eastAsia="en-US"/>
        </w:rPr>
      </w:pPr>
      <w:bookmarkStart w:id="11" w:name="_Toc335907247"/>
      <w:bookmarkStart w:id="12" w:name="_Toc327880010"/>
      <w:bookmarkEnd w:id="11"/>
      <w:bookmarkEnd w:id="12"/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3"/>
        <w:gridCol w:w="2495"/>
        <w:gridCol w:w="2539"/>
      </w:tblGrid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pStyle w:val="afff3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pStyle w:val="afff3"/>
              <w:keepNext/>
              <w:widowControl w:val="0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7 (в часах)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 з.е.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 з.е.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Домашнее творческое задание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Домашнее творческое задание</w:t>
            </w:r>
          </w:p>
        </w:tc>
      </w:tr>
      <w:tr w:rsidR="00FA7CE1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</w:tr>
    </w:tbl>
    <w:p w:rsidR="00FA7CE1" w:rsidRDefault="00FA7CE1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  <w:highlight w:val="yellow"/>
        </w:rPr>
      </w:pPr>
    </w:p>
    <w:p w:rsidR="00FA7CE1" w:rsidRDefault="00BB26E4">
      <w:pPr>
        <w:pStyle w:val="1"/>
        <w:spacing w:before="240"/>
        <w:ind w:firstLine="709"/>
        <w:jc w:val="both"/>
        <w:rPr>
          <w:b/>
          <w:bCs/>
          <w:sz w:val="28"/>
          <w:szCs w:val="28"/>
        </w:rPr>
      </w:pPr>
      <w:bookmarkStart w:id="13" w:name="_Toc13770896"/>
      <w:r>
        <w:rPr>
          <w:b/>
          <w:bCs/>
          <w:sz w:val="28"/>
          <w:szCs w:val="28"/>
        </w:rPr>
        <w:t xml:space="preserve">5. Содержание дисциплины, </w:t>
      </w:r>
      <w:r>
        <w:rPr>
          <w:b/>
          <w:bCs/>
          <w:sz w:val="28"/>
          <w:szCs w:val="28"/>
        </w:rPr>
        <w:t>структурированное по темам дисциплины с указанием их объемов (в академических часах) и видов учебных занятий</w:t>
      </w:r>
      <w:bookmarkEnd w:id="13"/>
    </w:p>
    <w:p w:rsidR="00FA7CE1" w:rsidRDefault="00BB26E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4" w:name="_Toc13770897"/>
      <w:r>
        <w:rPr>
          <w:b/>
          <w:bCs/>
          <w:sz w:val="28"/>
          <w:szCs w:val="28"/>
        </w:rPr>
        <w:t>5.1. Содержание дисциплины</w:t>
      </w:r>
      <w:bookmarkEnd w:id="14"/>
    </w:p>
    <w:p w:rsidR="00FA7CE1" w:rsidRDefault="00FA7CE1">
      <w:pPr>
        <w:rPr>
          <w:sz w:val="28"/>
          <w:szCs w:val="28"/>
        </w:rPr>
      </w:pP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Теоретическое содержание казначейских рисков, их характеристики.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сущность категории «риск». Экономиче</w:t>
      </w:r>
      <w:r>
        <w:rPr>
          <w:sz w:val="28"/>
          <w:szCs w:val="28"/>
        </w:rPr>
        <w:t>ская природа риска. Риски в финансово-бюджетной сфере: сущность, содержание. Классификация рисков в финансово-бюджетной сфере. Необходимость выявления, анализа и управления рисками. Система рисков и их классификация.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Категория, виды и факторы казначейских </w:t>
      </w:r>
      <w:r>
        <w:rPr>
          <w:sz w:val="28"/>
          <w:szCs w:val="28"/>
        </w:rPr>
        <w:t>рисков. Внутренний (операционный) казначейский риск (внутренний риск). Бюджетный риск. Принципы управления казначейскими рисками. Казначейский риск как экономическая категория. Влияние казначейских рисков. Правовое регулирование и стандартизация управления</w:t>
      </w:r>
      <w:r>
        <w:rPr>
          <w:sz w:val="28"/>
          <w:szCs w:val="28"/>
        </w:rPr>
        <w:t xml:space="preserve"> казначейскими рисками в Российской Федерации.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Риск-ориентированный подход к планированию и осуществлению государственного финансового контроля. Модель риск-ориентированного планирования контрольной и аудиторской деятельности. Факторы риска. </w:t>
      </w:r>
      <w:r>
        <w:rPr>
          <w:sz w:val="28"/>
          <w:szCs w:val="28"/>
        </w:rPr>
        <w:lastRenderedPageBreak/>
        <w:t xml:space="preserve">Внешние и </w:t>
      </w:r>
      <w:r>
        <w:rPr>
          <w:sz w:val="28"/>
          <w:szCs w:val="28"/>
        </w:rPr>
        <w:t>внутренние источники информации. Современный опыт применения риск-ориентированного планирования: тенденции и факторы развития.</w:t>
      </w:r>
    </w:p>
    <w:p w:rsidR="00FA7CE1" w:rsidRDefault="00FA7CE1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Система управления казначейскими рисками: организационный аспект. </w:t>
      </w:r>
    </w:p>
    <w:p w:rsidR="00FA7CE1" w:rsidRDefault="00BB26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управления рисками в финансово-бюджетной </w:t>
      </w:r>
      <w:r>
        <w:rPr>
          <w:color w:val="000000"/>
          <w:sz w:val="28"/>
          <w:szCs w:val="28"/>
        </w:rPr>
        <w:t>сфере, ее содержание и этапы. Необходимость, содержание, цели и задачи управления казначейскими рисками на примере Федерального казначейства. Ретроспектива создания системы управления казначейскими рисками в Федеральном казначействе: предпосылки, внешняя и</w:t>
      </w:r>
      <w:r>
        <w:rPr>
          <w:color w:val="000000"/>
          <w:sz w:val="28"/>
          <w:szCs w:val="28"/>
        </w:rPr>
        <w:t xml:space="preserve"> внутренняя среда. Этапы формирования системы управления казначейскими рисками. Участники системы управления казначейскими рисками, их полномочия.</w:t>
      </w:r>
    </w:p>
    <w:p w:rsidR="00FA7CE1" w:rsidRDefault="00BB26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управления казначейскими рисками в органах Федерального казначейства. Уровни управления казначейс</w:t>
      </w:r>
      <w:r>
        <w:rPr>
          <w:color w:val="000000"/>
          <w:sz w:val="28"/>
          <w:szCs w:val="28"/>
        </w:rPr>
        <w:t xml:space="preserve">кими рисками. Регламентация системы управления казначейскими рисками: стандарты, классификаторы, порядки. Алгоритм формирования классификатора рисков в Федеральном казначействе. </w:t>
      </w:r>
      <w:r>
        <w:rPr>
          <w:sz w:val="28"/>
          <w:szCs w:val="28"/>
        </w:rPr>
        <w:t>Классификатор казначейских рисков Федерального казначейства. Информационные си</w:t>
      </w:r>
      <w:r>
        <w:rPr>
          <w:sz w:val="28"/>
          <w:szCs w:val="28"/>
        </w:rPr>
        <w:t>стемы, применяемые в целях управления казначейскими рисками.</w:t>
      </w:r>
    </w:p>
    <w:p w:rsidR="00FA7CE1" w:rsidRDefault="00BB26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системы управления казначейскими рисками: управление внешними казначейскими рисками; управление внутренними (операционными) казначейскими рисками. Этапы управления казначейскими рисками</w:t>
      </w:r>
      <w:r>
        <w:rPr>
          <w:color w:val="000000"/>
          <w:sz w:val="28"/>
          <w:szCs w:val="28"/>
        </w:rPr>
        <w:t>. Реестр рисков, его назначение и особенности применения.</w:t>
      </w:r>
    </w:p>
    <w:p w:rsidR="00FA7CE1" w:rsidRDefault="00FA7CE1">
      <w:pPr>
        <w:spacing w:line="360" w:lineRule="auto"/>
        <w:ind w:firstLine="709"/>
        <w:jc w:val="both"/>
        <w:rPr>
          <w:sz w:val="28"/>
          <w:szCs w:val="28"/>
        </w:rPr>
      </w:pP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Методическое обеспечение управления казначейскими рисками.</w:t>
      </w:r>
    </w:p>
    <w:p w:rsidR="00FA7CE1" w:rsidRDefault="00BB26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Информационное обеспечение и методика выявления риска. Инструменты и подходы, используемые при управлении рисками. Оценка рисков в</w:t>
      </w:r>
      <w:r>
        <w:rPr>
          <w:color w:val="000000"/>
          <w:sz w:val="28"/>
          <w:szCs w:val="28"/>
        </w:rPr>
        <w:t xml:space="preserve"> современных международных концепциях. Оценка и покрытие рисков в модели ISO. Оценка и покрытие рисков в модели COSO. Оценка и покрытие рисков в </w:t>
      </w:r>
      <w:r>
        <w:rPr>
          <w:color w:val="000000"/>
          <w:sz w:val="28"/>
          <w:szCs w:val="28"/>
        </w:rPr>
        <w:lastRenderedPageBreak/>
        <w:t>модели FERMA. Сравнение подходов к оценке и покрытию рисков FERMA и COSO.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Инструменты и методы управления казна</w:t>
      </w:r>
      <w:r>
        <w:rPr>
          <w:color w:val="000000"/>
          <w:sz w:val="28"/>
          <w:szCs w:val="28"/>
        </w:rPr>
        <w:t xml:space="preserve">чейскими рисками. Выявление, идентификация, анализ и оценка казначейских рисков. </w:t>
      </w:r>
      <w:r>
        <w:rPr>
          <w:sz w:val="28"/>
          <w:szCs w:val="28"/>
        </w:rPr>
        <w:t>Источники информации для идентификации казначейских рисков. Методические подходы к идентификации и оценке казначейских рисков. Этапы процесса оценки риска. Подходы к оценке ри</w:t>
      </w:r>
      <w:r>
        <w:rPr>
          <w:sz w:val="28"/>
          <w:szCs w:val="28"/>
        </w:rPr>
        <w:t xml:space="preserve">сков: качественный и количественный. Показатели и критерии оценки казначейских рисков. Значимость (уровень), вероятность и степень влияния казначейских рисков. 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применения классификатора казначейских рисков. Способы реагирования на казначейские ри</w:t>
      </w:r>
      <w:r>
        <w:rPr>
          <w:sz w:val="28"/>
          <w:szCs w:val="28"/>
        </w:rPr>
        <w:t>ски, их определение. Системные способы реагирования. Принятие риска. Избежание риска. Передача риска. Контроль (снижение) риска.</w:t>
      </w: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Мониторинг казначейских рисков. </w:t>
      </w:r>
      <w:r>
        <w:rPr>
          <w:sz w:val="28"/>
          <w:szCs w:val="28"/>
        </w:rPr>
        <w:t>Контроль казначейских рисков: содержание, направления и инструменты. Эффективность системы упра</w:t>
      </w:r>
      <w:r>
        <w:rPr>
          <w:sz w:val="28"/>
          <w:szCs w:val="28"/>
        </w:rPr>
        <w:t>вления казначейскими рисками, подходы и критерии оценки.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Оценка и контроль эффективности функционирования системы управления казначейскими рисками.</w:t>
      </w:r>
    </w:p>
    <w:p w:rsidR="00FA7CE1" w:rsidRDefault="00FA7CE1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FA7CE1" w:rsidRDefault="00BB26E4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>Тема 4. Управление казначейскими рисками в организациях корпоративного сектора.</w:t>
      </w:r>
    </w:p>
    <w:p w:rsidR="00FA7CE1" w:rsidRDefault="00BB26E4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bCs/>
          <w:szCs w:val="28"/>
          <w:highlight w:val="yellow"/>
        </w:rPr>
      </w:pPr>
      <w:bookmarkStart w:id="15" w:name="_Toc13770898"/>
      <w:r>
        <w:rPr>
          <w:b w:val="0"/>
          <w:bCs/>
          <w:szCs w:val="28"/>
        </w:rPr>
        <w:t>Управление рисками и органи</w:t>
      </w:r>
      <w:r>
        <w:rPr>
          <w:b w:val="0"/>
          <w:bCs/>
          <w:szCs w:val="28"/>
        </w:rPr>
        <w:t>зация корпоративного казначейства.  Подходы к корпоративному управлению казначейскими рисками. Влияние казначейских рисков на деятельность организации. Управление риском ликвидности в корпоративном казначействе. Инструменты управления риском ликвидности. У</w:t>
      </w:r>
      <w:r>
        <w:rPr>
          <w:b w:val="0"/>
          <w:bCs/>
          <w:szCs w:val="28"/>
        </w:rPr>
        <w:t>правление валютным риском, методы управления валютным риском. Управление процентным риском, методы управления процентным риском. Управление ценовым риском. Автоматизация казначейских операций для повышения эффективности управления казначейскими рисками. Ан</w:t>
      </w:r>
      <w:r>
        <w:rPr>
          <w:b w:val="0"/>
          <w:bCs/>
          <w:szCs w:val="28"/>
        </w:rPr>
        <w:t xml:space="preserve">ализ и </w:t>
      </w:r>
      <w:r>
        <w:rPr>
          <w:b w:val="0"/>
          <w:bCs/>
          <w:szCs w:val="28"/>
        </w:rPr>
        <w:lastRenderedPageBreak/>
        <w:t>мониторинг финансовых рисков. Перспективы расширения казначейских функций.</w:t>
      </w:r>
    </w:p>
    <w:p w:rsidR="00FA7CE1" w:rsidRDefault="00FA7CE1">
      <w:pPr>
        <w:rPr>
          <w:highlight w:val="yellow"/>
        </w:rPr>
      </w:pPr>
    </w:p>
    <w:p w:rsidR="00FA7CE1" w:rsidRDefault="00BB26E4">
      <w:pPr>
        <w:pStyle w:val="2"/>
        <w:numPr>
          <w:ilvl w:val="0"/>
          <w:numId w:val="0"/>
        </w:numPr>
        <w:spacing w:line="276" w:lineRule="auto"/>
        <w:jc w:val="left"/>
        <w:rPr>
          <w:szCs w:val="28"/>
        </w:rPr>
      </w:pPr>
      <w:bookmarkStart w:id="16" w:name="_Toc326701978"/>
      <w:r>
        <w:rPr>
          <w:bCs/>
          <w:szCs w:val="28"/>
        </w:rPr>
        <w:t xml:space="preserve">5.2. </w:t>
      </w:r>
      <w:bookmarkEnd w:id="16"/>
      <w:r>
        <w:rPr>
          <w:szCs w:val="28"/>
        </w:rPr>
        <w:t>Учебно-тематический план</w:t>
      </w:r>
      <w:bookmarkEnd w:id="15"/>
    </w:p>
    <w:p w:rsidR="00FA7CE1" w:rsidRDefault="00FA7CE1">
      <w:pPr>
        <w:pStyle w:val="2"/>
        <w:rPr>
          <w:highlight w:val="yellow"/>
        </w:rPr>
      </w:pPr>
    </w:p>
    <w:tbl>
      <w:tblPr>
        <w:tblStyle w:val="1f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193"/>
        <w:gridCol w:w="827"/>
        <w:gridCol w:w="962"/>
        <w:gridCol w:w="688"/>
        <w:gridCol w:w="1236"/>
        <w:gridCol w:w="964"/>
        <w:gridCol w:w="2564"/>
      </w:tblGrid>
      <w:tr w:rsidR="00FA7CE1">
        <w:trPr>
          <w:trHeight w:val="20"/>
        </w:trPr>
        <w:tc>
          <w:tcPr>
            <w:tcW w:w="2194" w:type="dxa"/>
            <w:vMerge w:val="restart"/>
          </w:tcPr>
          <w:p w:rsidR="00FA7CE1" w:rsidRDefault="00BB26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82" w:type="dxa"/>
            <w:gridSpan w:val="5"/>
          </w:tcPr>
          <w:p w:rsidR="00FA7CE1" w:rsidRDefault="00BB26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Трудоемкость в часах</w:t>
            </w:r>
          </w:p>
        </w:tc>
        <w:tc>
          <w:tcPr>
            <w:tcW w:w="2567" w:type="dxa"/>
            <w:vMerge w:val="restart"/>
          </w:tcPr>
          <w:p w:rsidR="00FA7CE1" w:rsidRDefault="00BB26E4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Формы текущего контроля успеваемости</w:t>
            </w:r>
          </w:p>
        </w:tc>
      </w:tr>
      <w:tr w:rsidR="00FA7CE1">
        <w:trPr>
          <w:trHeight w:val="20"/>
        </w:trPr>
        <w:tc>
          <w:tcPr>
            <w:tcW w:w="2194" w:type="dxa"/>
            <w:vMerge/>
          </w:tcPr>
          <w:p w:rsidR="00FA7CE1" w:rsidRDefault="00FA7C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</w:tcPr>
          <w:p w:rsidR="00FA7CE1" w:rsidRDefault="00BB26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889" w:type="dxa"/>
            <w:gridSpan w:val="3"/>
          </w:tcPr>
          <w:p w:rsidR="00FA7CE1" w:rsidRDefault="00BB26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Аудиторная работа</w:t>
            </w:r>
          </w:p>
        </w:tc>
        <w:tc>
          <w:tcPr>
            <w:tcW w:w="965" w:type="dxa"/>
            <w:vMerge w:val="restart"/>
          </w:tcPr>
          <w:p w:rsidR="00FA7CE1" w:rsidRDefault="00BB26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Само-стояте-льная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работа</w:t>
            </w:r>
          </w:p>
        </w:tc>
        <w:tc>
          <w:tcPr>
            <w:tcW w:w="2567" w:type="dxa"/>
            <w:vMerge/>
          </w:tcPr>
          <w:p w:rsidR="00FA7CE1" w:rsidRDefault="00FA7CE1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FA7CE1">
        <w:trPr>
          <w:trHeight w:val="20"/>
        </w:trPr>
        <w:tc>
          <w:tcPr>
            <w:tcW w:w="2194" w:type="dxa"/>
            <w:vMerge/>
          </w:tcPr>
          <w:p w:rsidR="00FA7CE1" w:rsidRDefault="00FA7CE1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vMerge/>
          </w:tcPr>
          <w:p w:rsidR="00FA7CE1" w:rsidRDefault="00FA7CE1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Общая,</w:t>
            </w:r>
          </w:p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в т.ч.: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Семинары, практи-ческие занятия</w:t>
            </w:r>
          </w:p>
        </w:tc>
        <w:tc>
          <w:tcPr>
            <w:tcW w:w="965" w:type="dxa"/>
            <w:vMerge/>
          </w:tcPr>
          <w:p w:rsidR="00FA7CE1" w:rsidRDefault="00FA7CE1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67" w:type="dxa"/>
            <w:vMerge/>
          </w:tcPr>
          <w:p w:rsidR="00FA7CE1" w:rsidRDefault="00FA7CE1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FA7CE1">
        <w:trPr>
          <w:trHeight w:val="20"/>
        </w:trPr>
        <w:tc>
          <w:tcPr>
            <w:tcW w:w="2194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1. Теоретическое содержание казначейских рисков, их характеристики.</w:t>
            </w:r>
          </w:p>
        </w:tc>
        <w:tc>
          <w:tcPr>
            <w:tcW w:w="828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567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Опрос, выполнение ситуационных и тестовых заданий, научная дискуссия</w:t>
            </w:r>
          </w:p>
        </w:tc>
      </w:tr>
      <w:tr w:rsidR="00FA7CE1">
        <w:trPr>
          <w:trHeight w:val="20"/>
        </w:trPr>
        <w:tc>
          <w:tcPr>
            <w:tcW w:w="2194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2. Система управления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казначейскими рисками: организационный аспект.</w:t>
            </w:r>
          </w:p>
        </w:tc>
        <w:tc>
          <w:tcPr>
            <w:tcW w:w="828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65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567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FA7CE1">
        <w:trPr>
          <w:trHeight w:val="20"/>
        </w:trPr>
        <w:tc>
          <w:tcPr>
            <w:tcW w:w="2194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3. Методическое обеспечение управления казначейскими рисками.</w:t>
            </w:r>
          </w:p>
        </w:tc>
        <w:tc>
          <w:tcPr>
            <w:tcW w:w="828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65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567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Опрос, решение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тестовых заданий, выполнение ситуационных заданий, обсуждение дискуссионных вопросов</w:t>
            </w:r>
          </w:p>
        </w:tc>
      </w:tr>
      <w:tr w:rsidR="00FA7CE1">
        <w:trPr>
          <w:trHeight w:val="20"/>
        </w:trPr>
        <w:tc>
          <w:tcPr>
            <w:tcW w:w="2194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4. Управление казначейскими рисками в организациях корпоративного сектора.</w:t>
            </w:r>
          </w:p>
        </w:tc>
        <w:tc>
          <w:tcPr>
            <w:tcW w:w="828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65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567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Опрос, решение тестовых заданий, выполнение ситуационных заданий, обсуждение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дискуссионных вопросов</w:t>
            </w:r>
          </w:p>
        </w:tc>
      </w:tr>
      <w:tr w:rsidR="00FA7CE1">
        <w:trPr>
          <w:trHeight w:val="20"/>
        </w:trPr>
        <w:tc>
          <w:tcPr>
            <w:tcW w:w="2194" w:type="dxa"/>
          </w:tcPr>
          <w:p w:rsidR="00FA7CE1" w:rsidRDefault="00BB26E4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целом по дисциплине </w:t>
            </w:r>
          </w:p>
        </w:tc>
        <w:tc>
          <w:tcPr>
            <w:tcW w:w="828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965" w:type="dxa"/>
          </w:tcPr>
          <w:p w:rsidR="00FA7CE1" w:rsidRDefault="00BB26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2567" w:type="dxa"/>
          </w:tcPr>
          <w:p w:rsidR="00FA7CE1" w:rsidRDefault="00BB26E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Согласно учебному плану: </w:t>
            </w:r>
          </w:p>
          <w:p w:rsidR="00FA7CE1" w:rsidRDefault="00BB26E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Домашнее творческое задание </w:t>
            </w:r>
          </w:p>
          <w:p w:rsidR="00FA7CE1" w:rsidRDefault="00BB26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Зачет</w:t>
            </w:r>
          </w:p>
        </w:tc>
      </w:tr>
      <w:tr w:rsidR="00FA7CE1">
        <w:trPr>
          <w:trHeight w:val="20"/>
        </w:trPr>
        <w:tc>
          <w:tcPr>
            <w:tcW w:w="2194" w:type="dxa"/>
          </w:tcPr>
          <w:p w:rsidR="00FA7CE1" w:rsidRDefault="00BB26E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Итого в %</w:t>
            </w:r>
          </w:p>
        </w:tc>
        <w:tc>
          <w:tcPr>
            <w:tcW w:w="828" w:type="dxa"/>
          </w:tcPr>
          <w:p w:rsidR="00FA7CE1" w:rsidRDefault="00BB26E4">
            <w:pPr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63" w:type="dxa"/>
          </w:tcPr>
          <w:p w:rsidR="00FA7CE1" w:rsidRDefault="00BB26E4">
            <w:pPr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689" w:type="dxa"/>
          </w:tcPr>
          <w:p w:rsidR="00FA7CE1" w:rsidRDefault="00BB26E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237" w:type="dxa"/>
          </w:tcPr>
          <w:p w:rsidR="00FA7CE1" w:rsidRDefault="00BB26E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965" w:type="dxa"/>
          </w:tcPr>
          <w:p w:rsidR="00FA7CE1" w:rsidRDefault="00BB26E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567" w:type="dxa"/>
          </w:tcPr>
          <w:p w:rsidR="00FA7CE1" w:rsidRDefault="00FA7CE1">
            <w:pPr>
              <w:jc w:val="both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FA7CE1" w:rsidRDefault="00FA7CE1">
      <w:pPr>
        <w:rPr>
          <w:highlight w:val="yellow"/>
        </w:rPr>
      </w:pPr>
    </w:p>
    <w:p w:rsidR="00FA7CE1" w:rsidRDefault="00BB26E4">
      <w:pPr>
        <w:pStyle w:val="2"/>
        <w:spacing w:before="240"/>
        <w:jc w:val="left"/>
      </w:pPr>
      <w:r>
        <w:t>5.3. Содержание семинаров, практических занятий</w:t>
      </w:r>
    </w:p>
    <w:p w:rsidR="00FA7CE1" w:rsidRDefault="00FA7CE1">
      <w:pPr>
        <w:rPr>
          <w:highlight w:val="yellow"/>
        </w:rPr>
      </w:pPr>
    </w:p>
    <w:tbl>
      <w:tblPr>
        <w:tblStyle w:val="2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0"/>
        <w:gridCol w:w="6210"/>
        <w:gridCol w:w="1559"/>
      </w:tblGrid>
      <w:tr w:rsidR="00FA7CE1">
        <w:tc>
          <w:tcPr>
            <w:tcW w:w="1870" w:type="dxa"/>
          </w:tcPr>
          <w:p w:rsidR="00FA7CE1" w:rsidRDefault="00BB26E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210" w:type="dxa"/>
          </w:tcPr>
          <w:p w:rsidR="00FA7CE1" w:rsidRDefault="00BB26E4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Перечень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9" w:type="dxa"/>
          </w:tcPr>
          <w:p w:rsidR="00FA7CE1" w:rsidRDefault="00BB26E4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Формы проведения занятий</w:t>
            </w:r>
          </w:p>
        </w:tc>
      </w:tr>
      <w:tr w:rsidR="00FA7CE1">
        <w:tc>
          <w:tcPr>
            <w:tcW w:w="1870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1. Теоретическое содержание казначейских рисков, их характеристики.</w:t>
            </w:r>
          </w:p>
        </w:tc>
        <w:tc>
          <w:tcPr>
            <w:tcW w:w="6210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Р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иски в финансово-бюджетной сфере: сущность, содержание, классификация.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Категория, виды и факторы казначейских рисков.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Внутренний (операционный) казначейский риск (внутренний риск).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Принципы управления казначейскими рисками.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 Казначейский риск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как экономическая категория.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 Правовое регулирование и стандартизация управления казначейскими рисками в Российской Федерации.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7. Риск-ориентированный подход к планированию и осуществлению государственного финансового контроля.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 Факторы риска, внешн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ие и внутренние источники информации.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9. Современный опыт применения риск-ориентированного планирования: тенденции и факторы развития.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Опрос, выполнение ситуационных и тестовых заданий, научная дискуссия</w:t>
            </w:r>
          </w:p>
        </w:tc>
      </w:tr>
      <w:tr w:rsidR="00FA7CE1">
        <w:tc>
          <w:tcPr>
            <w:tcW w:w="1870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Тема 2.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Система управления казначейскими рисками: организационный аспект.</w:t>
            </w:r>
          </w:p>
        </w:tc>
        <w:tc>
          <w:tcPr>
            <w:tcW w:w="6210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1. Система управления рисками в финансово-бюджетной сфере, ее содержание и этапы.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2. Необходимость, содержание, цели и задачи управления казначейскими рисками.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3. Участники системы 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управления казначейскими рисками, их полномочия.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4. Организация управления казначейскими рисками в органах Федерального казначейства.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5. Регламентация системы управления казначейскими рисками.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6. Алгоритм формирования классификатора рисков.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7. Классификат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ор казначейских рисков.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8. Информационные системы, применяемые в целях управления казначейскими рисками.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9. Управление внешними казначейскими рисками.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10. Управление внутренними (операционными) казначейскими рисками.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8.1, 8.2.1, 8.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559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FA7CE1">
        <w:tc>
          <w:tcPr>
            <w:tcW w:w="1870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3. Методическое обеспечение управления казначейскими рисками.</w:t>
            </w:r>
          </w:p>
        </w:tc>
        <w:tc>
          <w:tcPr>
            <w:tcW w:w="6210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1. Инструменты и методы управления казначейскими рисками.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2. Выявление, идентификац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ия, анализ и оценка казначейских рисков.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3. Источники информации для идентификации казначейских рисков.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4. Методические подходы к идентификации и оценке казначейских рисков.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5. Этапы процесса оценки риска.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6. Подходы к оценке рисков: качественный и 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количественный.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7. Показатели и критерии оценки казначейских рисков.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8. Значимость (уровень), вероятность и степень влияния казначейских рисков.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9. Методика применения классификатора казначейских рисков.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10. Способы реагирования на казначейские риски, их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определение.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11. Системные способы реагирования.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12. Принятие, избежание, контроль (снижение) риска.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13. Контроль казначейских рисков: содержание, направления и инструменты.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Опрос, решение тестовых заданий,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выполнение ситуационных заданий, обсуждение дискуссионных вопросов</w:t>
            </w:r>
          </w:p>
        </w:tc>
      </w:tr>
      <w:tr w:rsidR="00FA7CE1">
        <w:tc>
          <w:tcPr>
            <w:tcW w:w="1870" w:type="dxa"/>
          </w:tcPr>
          <w:p w:rsidR="00FA7CE1" w:rsidRDefault="00BB26E4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4. Управление казначейскими рисками в организациях корпоративного сектора.</w:t>
            </w:r>
          </w:p>
        </w:tc>
        <w:tc>
          <w:tcPr>
            <w:tcW w:w="6210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Управление рисками и организация корпоративного казначейства. 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Подходы к корпоративному управлению ка</w:t>
            </w:r>
            <w:r>
              <w:rPr>
                <w:rFonts w:eastAsia="Calibri"/>
                <w:sz w:val="20"/>
                <w:szCs w:val="20"/>
                <w:lang w:eastAsia="en-US"/>
              </w:rPr>
              <w:t>значейскими рисками.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Влияние казначейских рисков на деятельность организации.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 Автоматизация казначейских операций для повышения эффективности управления казначейскими рисками.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 Анализ и мониторинг финансовых рисков.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 Перспективы расширения казнач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ейских функций.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</w:tbl>
    <w:p w:rsidR="00FA7CE1" w:rsidRDefault="00FA7CE1">
      <w:pPr>
        <w:pStyle w:val="2"/>
        <w:spacing w:line="360" w:lineRule="auto"/>
        <w:ind w:firstLine="709"/>
        <w:jc w:val="both"/>
      </w:pPr>
    </w:p>
    <w:p w:rsidR="00FA7CE1" w:rsidRDefault="00BB26E4">
      <w:pPr>
        <w:pStyle w:val="2"/>
        <w:spacing w:line="360" w:lineRule="auto"/>
        <w:ind w:firstLine="709"/>
        <w:jc w:val="both"/>
      </w:pPr>
      <w:r>
        <w:t xml:space="preserve">6. Перечень учебно-методического обеспечения для самостоятельной работы обучающихся по </w:t>
      </w:r>
      <w:r>
        <w:t>дисциплине</w:t>
      </w:r>
    </w:p>
    <w:p w:rsidR="00FA7CE1" w:rsidRDefault="00BB26E4">
      <w:pPr>
        <w:keepNext/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2"/>
        <w:gridCol w:w="5244"/>
        <w:gridCol w:w="2553"/>
      </w:tblGrid>
      <w:tr w:rsidR="00FA7CE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7CE1" w:rsidRDefault="00BB26E4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17" w:name="_Hlk529151187"/>
            <w:bookmarkEnd w:id="17"/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7CE1" w:rsidRDefault="00BB26E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7CE1" w:rsidRDefault="00BB26E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</w:t>
            </w:r>
          </w:p>
          <w:p w:rsidR="00FA7CE1" w:rsidRDefault="00BB26E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</w:t>
            </w:r>
            <w:r>
              <w:rPr>
                <w:b/>
                <w:bCs/>
                <w:sz w:val="20"/>
                <w:szCs w:val="20"/>
              </w:rPr>
              <w:t>ной работы</w:t>
            </w:r>
          </w:p>
        </w:tc>
      </w:tr>
      <w:tr w:rsidR="00FA7CE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1. Теоретическое содержание казначейских рисков, их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характеристики.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1. Понятие и сущность категории «риск».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2. Экономическая природа риска.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 Требования к формированию классификатора казначейских рисков.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4. Угрозы и возможный ущерб от </w:t>
            </w:r>
            <w:r>
              <w:rPr>
                <w:sz w:val="20"/>
              </w:rPr>
              <w:t xml:space="preserve">реализации казначейских </w:t>
            </w:r>
            <w:r>
              <w:rPr>
                <w:sz w:val="20"/>
              </w:rPr>
              <w:lastRenderedPageBreak/>
              <w:t>рисков.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5. Анализ действий органов исполнительной власти Российской Федерации по идентификации казначейских рисков.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6. Модель риск-ориентированного планирования контрольной и аудиторской деятельности.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>. Влияние казначейских рисков</w:t>
            </w:r>
            <w:r>
              <w:rPr>
                <w:sz w:val="20"/>
              </w:rPr>
              <w:t>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</w:t>
            </w:r>
            <w:r>
              <w:rPr>
                <w:sz w:val="20"/>
                <w:szCs w:val="20"/>
              </w:rPr>
              <w:lastRenderedPageBreak/>
              <w:t xml:space="preserve">обобщение материала.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FA7CE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Тема 2. Система управления казначейскими рисками: </w:t>
            </w:r>
            <w:r>
              <w:rPr>
                <w:rFonts w:eastAsia="Calibri"/>
                <w:color w:val="000000"/>
                <w:sz w:val="20"/>
                <w:szCs w:val="20"/>
              </w:rPr>
              <w:t>организационный аспект.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1. Ретроспектива создания системы управления казначейскими рисками в Федеральном казначействе.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2. Внешняя и внутренняя среда системы управления казначейскими рисками.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 Этапы формирования системы управления казначейскими рисками.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4. Уровни управления казначейскими рисками.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5. Структура системы управления казначейскими рисками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6. Этапы управления казначейскими рисками.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7. Реестр рисков, его назначение и особенности применения.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8. Модель управления казначейскими рисками.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9. Участни</w:t>
            </w:r>
            <w:r>
              <w:rPr>
                <w:sz w:val="20"/>
              </w:rPr>
              <w:t xml:space="preserve">ки модели, их задачи и роль, организация взаимодействия и применяемые информационные технологии для межведомственного взаимодействия.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10. Направления и инструменты противодействия (снижения) казначейским рискам.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научной, учебной и справочной лите</w:t>
            </w:r>
            <w:r>
              <w:rPr>
                <w:sz w:val="20"/>
                <w:szCs w:val="20"/>
              </w:rPr>
              <w:t xml:space="preserve">ратурой, Интернет-ресурсами.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FA7CE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3. Методическое обеспечение управления казначейскими рисками.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1. Информационное обеспечение и методика выявления риска.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2. Инструменты и подходы, используемые при управлении рисками.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3. Оценка рисков в современных международных концепциях.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4. Оценка и покрытие рисков в модели ISO.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5. Оценка и покрытие рисков в мо</w:t>
            </w: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дели COSO.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6. Оценка и покрытие рисков в модели FERMA. 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7. Сравнение подходов к оценке и покрытию рисков FERMA и COSO.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8. Мониторинг казначейских рисков.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9. Эффективность системы управления казначейскими рисками, подходы и критерии оценки.</w:t>
            </w:r>
          </w:p>
          <w:p w:rsidR="00FA7CE1" w:rsidRDefault="00BB26E4">
            <w:pPr>
              <w:keepNext/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10. Оценка и контроль эффективности функционирования системы управления казначейскими рисками.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11. Отчеты органов исполнительной власти Российской федерации о результатах управления казначейскими рисками, результаты анализа данных отчетов, принятие управл</w:t>
            </w:r>
            <w:r>
              <w:rPr>
                <w:sz w:val="20"/>
              </w:rPr>
              <w:t>енческих решений на основе анализа.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FA7CE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4. Управление </w:t>
            </w:r>
            <w:r>
              <w:rPr>
                <w:rFonts w:eastAsia="Calibri"/>
                <w:color w:val="000000"/>
                <w:sz w:val="20"/>
                <w:szCs w:val="20"/>
              </w:rPr>
              <w:t>казначейскими рисками в организациях корпоративного сектора.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Управление риском ликвидности в корпоративном казначействе.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Инструменты управления риском ликвидности.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Управление валютным риском.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Методы управления валютным риском.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Управление </w:t>
            </w:r>
            <w:r>
              <w:rPr>
                <w:sz w:val="20"/>
                <w:szCs w:val="20"/>
              </w:rPr>
              <w:t>процентным риском.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Методы управления процентным риском.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7. Управление ценовым риском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FA7CE1" w:rsidRDefault="00BB26E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</w:t>
            </w:r>
            <w:r>
              <w:rPr>
                <w:sz w:val="20"/>
                <w:szCs w:val="20"/>
              </w:rPr>
              <w:t>рованию по теме занятия.</w:t>
            </w:r>
          </w:p>
        </w:tc>
      </w:tr>
    </w:tbl>
    <w:p w:rsidR="00FA7CE1" w:rsidRDefault="00BB26E4">
      <w:pPr>
        <w:pStyle w:val="2"/>
        <w:numPr>
          <w:ilvl w:val="0"/>
          <w:numId w:val="0"/>
        </w:numPr>
        <w:spacing w:before="200" w:line="360" w:lineRule="auto"/>
        <w:ind w:left="709"/>
        <w:jc w:val="both"/>
        <w:rPr>
          <w:b w:val="0"/>
          <w:bCs/>
          <w:szCs w:val="28"/>
        </w:rPr>
      </w:pPr>
      <w:bookmarkStart w:id="18" w:name="_Hlk5291511871"/>
      <w:bookmarkEnd w:id="18"/>
      <w:r>
        <w:rPr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FA7CE1" w:rsidRDefault="00BB26E4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Текущий контроль по дисциплине проводится в форме домашнего творческого задания с учетом критериев балльно-рейтинговой системы, установленных кафедрой. </w:t>
      </w:r>
    </w:p>
    <w:p w:rsidR="00FA7CE1" w:rsidRDefault="00BB26E4">
      <w:pPr>
        <w:pStyle w:val="2"/>
        <w:spacing w:line="360" w:lineRule="auto"/>
        <w:ind w:firstLine="709"/>
        <w:jc w:val="both"/>
        <w:rPr>
          <w:iCs/>
          <w:szCs w:val="28"/>
        </w:rPr>
      </w:pPr>
      <w:bookmarkStart w:id="19" w:name="_Toc13770902"/>
      <w:bookmarkStart w:id="20" w:name="_Hlk125450064"/>
      <w:r>
        <w:rPr>
          <w:szCs w:val="28"/>
        </w:rPr>
        <w:t xml:space="preserve">6.2.1. Примерный перечень вопросов для формирования домашнего творческого задания: </w:t>
      </w:r>
      <w:bookmarkStart w:id="21" w:name="_Toc529894758"/>
      <w:bookmarkEnd w:id="19"/>
      <w:bookmarkEnd w:id="20"/>
      <w:bookmarkEnd w:id="21"/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Влияние казначейских рисков на исполнение бюджетов бюджетной системы Российской Федерации.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Риск – ориентированный подход при управлении казначейскими рисками.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Виды</w:t>
      </w:r>
      <w:r>
        <w:rPr>
          <w:sz w:val="28"/>
          <w:szCs w:val="28"/>
        </w:rPr>
        <w:t xml:space="preserve"> казначейских рисков. Классификаторы казначейских рисков, их применение при выполнении казначейских функций.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Особенности казначейских рисков при организации и осуществлении учета поступлений в бюджетную систему Российской Федерации и их распределении </w:t>
      </w:r>
      <w:r>
        <w:rPr>
          <w:sz w:val="28"/>
          <w:szCs w:val="28"/>
        </w:rPr>
        <w:t>между бюджетами бюджетной системы Российской Федерации.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Описание казначейских рисков в процессе организации и осуществлении казначейских платежей в системе банковских расчетов между УФК и учреждением Банка России, кредитными организациями, а также в сис</w:t>
      </w:r>
      <w:r>
        <w:rPr>
          <w:sz w:val="28"/>
          <w:szCs w:val="28"/>
        </w:rPr>
        <w:t>теме казначейских платежей между органами Федерального казначейства.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Казначейские риски во время осуществления и учета операций со средствами федерального бюджета, средствами, поступающими во временное распоряжение получателей средств федерального бюдже</w:t>
      </w:r>
      <w:r>
        <w:rPr>
          <w:sz w:val="28"/>
          <w:szCs w:val="28"/>
        </w:rPr>
        <w:t>та, средствами бюджета Союзного государства, средствами для финансирования мероприятий по оперативно-розыскной деятельности, средствами федеральных бюджетных (автономных) учреждений, получателей средств из бюджета, средствами обязательного медицинского стр</w:t>
      </w:r>
      <w:r>
        <w:rPr>
          <w:sz w:val="28"/>
          <w:szCs w:val="28"/>
        </w:rPr>
        <w:t>ахования, поступающими федеральным бюджетным (автономным) учреждениям.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Введение федеральных реестров в разрезе казначейских рисков.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Казначейские риски при Казначейском обслуживании исполнения бюджетов субъектов Российской Федерации (местных бюджетов)</w:t>
      </w:r>
      <w:r>
        <w:rPr>
          <w:sz w:val="28"/>
          <w:szCs w:val="28"/>
        </w:rPr>
        <w:t>, бюджетов государственных внебюджетных фондов, операций со средствами бюджетных (автономных) учреждений субъектов Российской Федерации (муниципальных бюджетных (автономных) учреждений), операций со средствами, поступающими во временное распоряжение получа</w:t>
      </w:r>
      <w:r>
        <w:rPr>
          <w:sz w:val="28"/>
          <w:szCs w:val="28"/>
        </w:rPr>
        <w:t>телей средств бюджетов субъектов Российской Федерации (местного бюджета), бюджетов государственных внебюджетных фондов, операций со средствами получателей средств из соответствующего бюджета.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Основные казначейские риски возникающие во время ведения казн</w:t>
      </w:r>
      <w:r>
        <w:rPr>
          <w:sz w:val="28"/>
          <w:szCs w:val="28"/>
        </w:rPr>
        <w:t>ачейского учета и составления бюджетной отчетности по казначейскому обслуживанию исполнения бюджетов бюджетной системы Российской Федерации, по операциям со средствами бюджетных (автономных) учреждений, получателей средств из бюджета, участников казначейск</w:t>
      </w:r>
      <w:r>
        <w:rPr>
          <w:sz w:val="28"/>
          <w:szCs w:val="28"/>
        </w:rPr>
        <w:t>ого сопровождения и по кассовому обслуживанию исполнения бюджета Союзного государства, а также по осуществлению иных операций в системе казначейских платежей и составление отчетности по операциям системы казначейских платежей.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Казначейские риски при ор</w:t>
      </w:r>
      <w:r>
        <w:rPr>
          <w:sz w:val="28"/>
          <w:szCs w:val="28"/>
        </w:rPr>
        <w:t>ганизации и осуществлении ведомственного контроля, внутреннего контроля и внутреннего аудита.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Организация работы по профилактике коррупционных и иных правонарушений в разрезе возникновения казначейских рисков.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Управление казначейскими рисками при ф</w:t>
      </w:r>
      <w:r>
        <w:rPr>
          <w:sz w:val="28"/>
          <w:szCs w:val="28"/>
        </w:rPr>
        <w:t>ункционировании контрактной системы.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Концептуальная модель направлений возникновения казначейских рисков, алгоритма управления казначейскими рисками.</w:t>
      </w:r>
    </w:p>
    <w:p w:rsidR="00FA7CE1" w:rsidRDefault="00BB26E4">
      <w:pPr>
        <w:pStyle w:val="1"/>
        <w:keepNext w:val="0"/>
        <w:ind w:firstLine="709"/>
        <w:jc w:val="both"/>
        <w:rPr>
          <w:sz w:val="28"/>
        </w:rPr>
      </w:pPr>
      <w:r>
        <w:rPr>
          <w:sz w:val="28"/>
        </w:rPr>
        <w:t>14. Причины создания реестра рисков, его назначение и особенности применения.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Содержание системы </w:t>
      </w:r>
      <w:r>
        <w:rPr>
          <w:sz w:val="28"/>
          <w:szCs w:val="28"/>
        </w:rPr>
        <w:t>управления казначейскими рисками, опишите ее основные элементы.</w:t>
      </w:r>
    </w:p>
    <w:p w:rsidR="00FA7CE1" w:rsidRDefault="00FA7CE1">
      <w:pPr>
        <w:spacing w:line="360" w:lineRule="auto"/>
        <w:ind w:firstLine="709"/>
        <w:jc w:val="both"/>
        <w:rPr>
          <w:sz w:val="28"/>
          <w:szCs w:val="28"/>
        </w:rPr>
      </w:pPr>
    </w:p>
    <w:p w:rsidR="00FA7CE1" w:rsidRDefault="00BB26E4">
      <w:pPr>
        <w:pStyle w:val="1"/>
        <w:ind w:firstLine="709"/>
        <w:jc w:val="both"/>
        <w:rPr>
          <w:b/>
          <w:sz w:val="28"/>
          <w:szCs w:val="28"/>
        </w:rPr>
      </w:pPr>
      <w:bookmarkStart w:id="22" w:name="_Toc13770903"/>
      <w:bookmarkStart w:id="23" w:name="_Toc13762615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:rsidR="00FA7CE1" w:rsidRDefault="00BB26E4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Перечень планируемых результатов освоения образовательной программы (перечень компетенций) с указан</w:t>
      </w:r>
      <w:r>
        <w:rPr>
          <w:b w:val="0"/>
          <w:szCs w:val="28"/>
        </w:rPr>
        <w:t>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</w:t>
      </w:r>
      <w:r>
        <w:rPr>
          <w:b w:val="0"/>
          <w:szCs w:val="28"/>
        </w:rPr>
        <w:t>ов обучения по дисциплине».</w:t>
      </w:r>
    </w:p>
    <w:p w:rsidR="00375F6C" w:rsidRPr="00375F6C" w:rsidRDefault="00375F6C" w:rsidP="00375F6C"/>
    <w:p w:rsidR="00FA7CE1" w:rsidRDefault="00BB26E4">
      <w:pPr>
        <w:pStyle w:val="2"/>
        <w:numPr>
          <w:ilvl w:val="0"/>
          <w:numId w:val="0"/>
        </w:numPr>
        <w:spacing w:line="360" w:lineRule="auto"/>
        <w:ind w:firstLine="709"/>
        <w:jc w:val="both"/>
        <w:sectPr w:rsidR="00FA7CE1">
          <w:footerReference w:type="default" r:id="rId8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</w:t>
      </w:r>
      <w:bookmarkStart w:id="24" w:name="_Toc13770905"/>
      <w:bookmarkStart w:id="25" w:name="_Toc13762617"/>
      <w:bookmarkEnd w:id="24"/>
      <w:bookmarkEnd w:id="25"/>
      <w:r>
        <w:rPr>
          <w:szCs w:val="28"/>
        </w:rPr>
        <w:t>нани</w:t>
      </w:r>
      <w:r>
        <w:rPr>
          <w:szCs w:val="28"/>
        </w:rPr>
        <w:t>й.</w:t>
      </w:r>
    </w:p>
    <w:tbl>
      <w:tblPr>
        <w:tblStyle w:val="29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74"/>
        <w:gridCol w:w="2833"/>
        <w:gridCol w:w="3856"/>
        <w:gridCol w:w="5954"/>
      </w:tblGrid>
      <w:tr w:rsidR="00FA7CE1">
        <w:trPr>
          <w:trHeight w:val="410"/>
        </w:trPr>
        <w:tc>
          <w:tcPr>
            <w:tcW w:w="1673" w:type="dxa"/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Наименование</w:t>
            </w: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833" w:type="dxa"/>
            <w:shd w:val="clear" w:color="auto" w:fill="auto"/>
          </w:tcPr>
          <w:p w:rsidR="00FA7CE1" w:rsidRDefault="00BB26E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индикаторов</w:t>
            </w:r>
          </w:p>
          <w:p w:rsidR="00FA7CE1" w:rsidRDefault="00BB26E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достижения</w:t>
            </w: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3856" w:type="dxa"/>
            <w:shd w:val="clear" w:color="auto" w:fill="auto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54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Типовые контрольные задания</w:t>
            </w:r>
          </w:p>
        </w:tc>
      </w:tr>
      <w:tr w:rsidR="00FA7CE1">
        <w:trPr>
          <w:trHeight w:val="410"/>
        </w:trPr>
        <w:tc>
          <w:tcPr>
            <w:tcW w:w="1673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УК-10 Способность осуществлять поиск, критически </w:t>
            </w:r>
            <w:r>
              <w:rPr>
                <w:sz w:val="20"/>
                <w:szCs w:val="20"/>
                <w:lang w:eastAsia="en-US"/>
              </w:rPr>
              <w:t>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sz w:val="20"/>
                <w:szCs w:val="20"/>
                <w:lang w:eastAsia="en-US"/>
              </w:rPr>
              <w:tab/>
              <w:t xml:space="preserve"> </w:t>
            </w:r>
          </w:p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FA7CE1" w:rsidRDefault="00FA7CE1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:rsidR="00FA7CE1" w:rsidRDefault="00FA7CE1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</w:t>
            </w:r>
            <w:r>
              <w:rPr>
                <w:rFonts w:eastAsia="Calibri"/>
                <w:sz w:val="20"/>
                <w:szCs w:val="20"/>
                <w:lang w:eastAsia="en-US"/>
              </w:rPr>
              <w:t>т полноту результатов классификации, показывает прикладное назначение классификационных групп.</w:t>
            </w:r>
          </w:p>
          <w:p w:rsidR="00FA7CE1" w:rsidRDefault="00FA7CE1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</w:t>
            </w:r>
            <w:r>
              <w:rPr>
                <w:rFonts w:eastAsia="Calibri"/>
                <w:sz w:val="20"/>
                <w:szCs w:val="20"/>
                <w:lang w:eastAsia="en-US"/>
              </w:rPr>
              <w:t>тников деятельности.</w:t>
            </w:r>
          </w:p>
          <w:p w:rsidR="00FA7CE1" w:rsidRDefault="00FA7CE1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56" w:type="dxa"/>
          </w:tcPr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современные подходы управления казначейскими рисками.</w:t>
            </w: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: реализовать сбор, обработку и интерпретацию данных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управления казначейскими рисками.</w:t>
            </w:r>
          </w:p>
          <w:p w:rsidR="00FA7CE1" w:rsidRDefault="00FA7CE1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направления развития системы управления казначейскими рисками в организациях государственного и корпоративного сектора.</w:t>
            </w: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выявлять закономерности и понимать природу вариабельности системы управления казначейск</w:t>
            </w:r>
            <w:r>
              <w:rPr>
                <w:rFonts w:eastAsia="Calibri"/>
                <w:sz w:val="20"/>
                <w:szCs w:val="20"/>
                <w:lang w:eastAsia="en-US"/>
              </w:rPr>
              <w:t>ими рисками.</w:t>
            </w:r>
          </w:p>
          <w:p w:rsidR="00FA7CE1" w:rsidRDefault="00FA7CE1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способы идентификации, анализа и оценки казначейских рисков в деятельности субъектов государственного и корпоративного секторов экономики.</w:t>
            </w: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реализовать мероприятия по исследованию казначейских рисков в деятельности субъектов госу</w:t>
            </w:r>
            <w:r>
              <w:rPr>
                <w:rFonts w:eastAsia="Calibri"/>
                <w:sz w:val="20"/>
                <w:szCs w:val="20"/>
                <w:lang w:eastAsia="en-US"/>
              </w:rPr>
              <w:t>дарственного и корпоративного секторов экономики.</w:t>
            </w:r>
          </w:p>
          <w:p w:rsidR="00FA7CE1" w:rsidRDefault="00FA7CE1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содержательные характеристики категории и видов казначейских рисков.</w:t>
            </w: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формировать суждения по результатам оценки казначейских рисков.</w:t>
            </w:r>
          </w:p>
          <w:p w:rsidR="00FA7CE1" w:rsidRDefault="00FA7CE1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содержательных аспектов планирования, исполнения 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реализации результатов мероприятий по управлению казначейскими рисками.</w:t>
            </w:r>
          </w:p>
          <w:p w:rsidR="00FA7CE1" w:rsidRDefault="00BB26E4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0"/>
                <w:lang w:eastAsia="en-US"/>
              </w:rPr>
              <w:t>: формировать предложения и рекомендации по результатам управления казначейскими рисками.</w:t>
            </w:r>
          </w:p>
        </w:tc>
        <w:tc>
          <w:tcPr>
            <w:tcW w:w="5954" w:type="dxa"/>
          </w:tcPr>
          <w:p w:rsidR="00FA7CE1" w:rsidRDefault="00BB26E4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lang w:eastAsia="en-US"/>
              </w:rPr>
              <w:t>Задание 1.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Сформируйте модель информационного взаимодействия участников системы управлен</w:t>
            </w:r>
            <w:r>
              <w:rPr>
                <w:sz w:val="20"/>
                <w:lang w:eastAsia="en-US"/>
              </w:rPr>
              <w:t>ия казначейскими рисками, отразив: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- субъекты взаимодействия;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 инструменты взаимодействия (информационные технологии);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 передаваемую информацию;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- эффект для участников системы. 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Охарактеризуйте положительные стороны и выявленные недостатки существующей</w:t>
            </w:r>
            <w:r>
              <w:rPr>
                <w:sz w:val="20"/>
                <w:lang w:eastAsia="en-US"/>
              </w:rPr>
              <w:t xml:space="preserve"> схемы межведомственного взаимодействия.</w:t>
            </w:r>
          </w:p>
          <w:p w:rsidR="00FA7CE1" w:rsidRDefault="00FA7CE1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</w:p>
          <w:p w:rsidR="00FA7CE1" w:rsidRDefault="00BB26E4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lang w:eastAsia="en-US"/>
              </w:rPr>
              <w:t>Задание 2.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Раскройте алгоритм формирования классификатора рисков Федерального казначейства.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8B7F79D">
                      <wp:extent cx="3601085" cy="1549400"/>
                      <wp:effectExtent l="0" t="0" r="0" b="0"/>
                      <wp:docPr id="1" name="Picture 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0">
                                        <a14:imgEffect>
                                          <a14:saturation sat="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3600360" cy="15487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shapetype_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ID="Picture 3" stroked="f" style="position:absolute;margin-left:0pt;margin-top:-122pt;width:283.45pt;height:121.9pt;mso-wrap-style:none;v-text-anchor:middle;mso-position-vertical:top" wp14:anchorId="58B7F79D" type="shapetype_75">
                      <v:imagedata r:id="rId11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  <w:p w:rsidR="00FA7CE1" w:rsidRDefault="00FA7CE1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</w:p>
          <w:p w:rsidR="00FA7CE1" w:rsidRDefault="00BB26E4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lang w:eastAsia="en-US"/>
              </w:rPr>
              <w:t>Задание 3.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Распределите мероприятия по управлению казначейскими рисками в нужной последовательности и кратко их охаракт</w:t>
            </w:r>
            <w:r>
              <w:rPr>
                <w:sz w:val="20"/>
                <w:lang w:eastAsia="en-US"/>
              </w:rPr>
              <w:t>еризуйте.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</w:t>
            </w:r>
            <w:r>
              <w:rPr>
                <w:sz w:val="20"/>
                <w:lang w:eastAsia="en-US"/>
              </w:rPr>
              <w:tab/>
              <w:t>выбор способов реагирования на казначейские риски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</w:t>
            </w:r>
            <w:r>
              <w:rPr>
                <w:sz w:val="20"/>
                <w:lang w:eastAsia="en-US"/>
              </w:rPr>
              <w:tab/>
              <w:t>идентификация, анализ и оценка казначейских рисков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</w:t>
            </w:r>
            <w:r>
              <w:rPr>
                <w:sz w:val="20"/>
                <w:lang w:eastAsia="en-US"/>
              </w:rPr>
              <w:tab/>
              <w:t>оценка эффективности функционирования системы управления казначейскими рисками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</w:t>
            </w:r>
            <w:r>
              <w:rPr>
                <w:sz w:val="20"/>
                <w:lang w:eastAsia="en-US"/>
              </w:rPr>
              <w:tab/>
              <w:t>мониторинг казначейских рисков;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</w:t>
            </w:r>
            <w:r>
              <w:rPr>
                <w:sz w:val="20"/>
                <w:lang w:eastAsia="en-US"/>
              </w:rPr>
              <w:tab/>
              <w:t xml:space="preserve">формирование отчетности </w:t>
            </w:r>
            <w:r>
              <w:rPr>
                <w:sz w:val="20"/>
                <w:lang w:eastAsia="en-US"/>
              </w:rPr>
              <w:t>в рамках управления казначейскими рисками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-</w:t>
            </w:r>
            <w:r>
              <w:rPr>
                <w:sz w:val="20"/>
                <w:lang w:eastAsia="en-US"/>
              </w:rPr>
              <w:tab/>
              <w:t>контроль эффективности функционирования системы управления казначейскими рисками.</w:t>
            </w:r>
            <w:bookmarkStart w:id="26" w:name="_GoBack"/>
            <w:bookmarkEnd w:id="26"/>
          </w:p>
        </w:tc>
      </w:tr>
      <w:tr w:rsidR="00FA7CE1" w:rsidTr="00375F6C">
        <w:trPr>
          <w:trHeight w:val="7645"/>
        </w:trPr>
        <w:tc>
          <w:tcPr>
            <w:tcW w:w="1673" w:type="dxa"/>
          </w:tcPr>
          <w:p w:rsidR="00FA7CE1" w:rsidRDefault="00BB26E4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ПКН-4 Способность оценивать показатели деятельности экономических субъектов</w:t>
            </w:r>
          </w:p>
        </w:tc>
        <w:tc>
          <w:tcPr>
            <w:tcW w:w="2833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1. Проводит анализ внешней и внутренней среды ведения</w:t>
            </w:r>
            <w:r>
              <w:rPr>
                <w:sz w:val="20"/>
                <w:szCs w:val="20"/>
                <w:lang w:eastAsia="en-US"/>
              </w:rPr>
              <w:t xml:space="preserve">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856" w:type="dxa"/>
          </w:tcPr>
          <w:p w:rsidR="00FA7CE1" w:rsidRDefault="00BB26E4">
            <w:pPr>
              <w:widowControl w:val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bCs/>
                <w:sz w:val="20"/>
                <w:szCs w:val="20"/>
                <w:lang w:eastAsia="en-US"/>
              </w:rPr>
              <w:t>в</w:t>
            </w:r>
            <w:r>
              <w:rPr>
                <w:bCs/>
                <w:sz w:val="20"/>
                <w:szCs w:val="20"/>
                <w:lang w:eastAsia="en-US"/>
              </w:rPr>
              <w:t>нешние и внутренние источники информации для идентификации и оценки казначейских рисков.</w:t>
            </w:r>
          </w:p>
          <w:p w:rsidR="00FA7CE1" w:rsidRDefault="00BB26E4">
            <w:pPr>
              <w:pStyle w:val="western"/>
              <w:suppressAutoHyphens/>
              <w:spacing w:beforeAutospacing="0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>Уметь:</w:t>
            </w:r>
            <w:r>
              <w:rPr>
                <w:bCs/>
                <w:sz w:val="20"/>
                <w:szCs w:val="20"/>
                <w:lang w:eastAsia="en-US"/>
              </w:rPr>
              <w:t xml:space="preserve"> осуществлять сбор и обработку финансово-экономической информации для целей управления казначейскими рисками.</w:t>
            </w:r>
          </w:p>
          <w:p w:rsidR="00FA7CE1" w:rsidRDefault="00BB26E4">
            <w:pPr>
              <w:pStyle w:val="western"/>
              <w:suppressAutoHyphens/>
              <w:spacing w:before="280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>Знать:</w:t>
            </w:r>
            <w:r>
              <w:rPr>
                <w:bCs/>
                <w:sz w:val="20"/>
                <w:szCs w:val="20"/>
                <w:lang w:eastAsia="en-US"/>
              </w:rPr>
              <w:t xml:space="preserve"> инструментарий обработки финансово-экономической информации, применяемого для управления казначейскими рисками.</w:t>
            </w:r>
          </w:p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bCs/>
                <w:sz w:val="20"/>
                <w:szCs w:val="20"/>
                <w:lang w:eastAsia="en-US"/>
              </w:rPr>
              <w:t>интерпретировать финансово-экономические показатели для решения профессиональных задач.</w:t>
            </w:r>
          </w:p>
        </w:tc>
        <w:tc>
          <w:tcPr>
            <w:tcW w:w="5954" w:type="dxa"/>
          </w:tcPr>
          <w:p w:rsidR="00FA7CE1" w:rsidRDefault="00BB26E4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lang w:eastAsia="en-US"/>
              </w:rPr>
              <w:t>Задание 1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Охарактеризуйте предпосылки для систем</w:t>
            </w:r>
            <w:r>
              <w:rPr>
                <w:sz w:val="20"/>
                <w:lang w:eastAsia="en-US"/>
              </w:rPr>
              <w:t>ы управления казначейскими рисками на основе представленной схемы.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1D48901">
                      <wp:extent cx="3573145" cy="1701165"/>
                      <wp:effectExtent l="0" t="0" r="0" b="0"/>
                      <wp:docPr id="2" name="Picture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Picture 2"/>
                              <pic:cNvPicPr/>
                            </pic:nvPicPr>
                            <pic:blipFill>
                              <a:blip r:embed="rId12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3">
                                        <a14:imgEffect>
                                          <a14:saturation sat="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3572640" cy="17006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2" stroked="f" style="position:absolute;margin-left:0pt;margin-top:-133.95pt;width:281.25pt;height:133.85pt;mso-wrap-style:none;v-text-anchor:middle;mso-position-vertical:top" wp14:anchorId="21D48901" type="shapetype_75">
                      <v:imagedata r:id="rId14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  <w:p w:rsidR="00FA7CE1" w:rsidRDefault="00FA7CE1">
            <w:pPr>
              <w:pStyle w:val="western"/>
              <w:suppressAutoHyphens/>
              <w:spacing w:beforeAutospacing="0"/>
              <w:jc w:val="center"/>
              <w:rPr>
                <w:b/>
                <w:i/>
                <w:sz w:val="20"/>
                <w:szCs w:val="24"/>
              </w:rPr>
            </w:pPr>
          </w:p>
          <w:p w:rsidR="00FA7CE1" w:rsidRDefault="00BB26E4">
            <w:pPr>
              <w:pStyle w:val="western"/>
              <w:suppressAutoHyphens/>
              <w:spacing w:beforeAutospacing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  <w:lang w:eastAsia="en-US"/>
              </w:rPr>
              <w:t>Задание 2.</w:t>
            </w:r>
          </w:p>
          <w:p w:rsidR="00FA7CE1" w:rsidRDefault="00BB26E4">
            <w:pPr>
              <w:pStyle w:val="western"/>
              <w:suppressAutoHyphens/>
              <w:spacing w:beforeAutospacing="0"/>
              <w:rPr>
                <w:sz w:val="20"/>
                <w:szCs w:val="24"/>
              </w:rPr>
            </w:pPr>
            <w:r>
              <w:rPr>
                <w:sz w:val="20"/>
                <w:szCs w:val="24"/>
                <w:lang w:eastAsia="en-US"/>
              </w:rPr>
              <w:t>Раскройте модель риск-ориентированного планирования контрольной и аудиторской деятельности.</w:t>
            </w:r>
          </w:p>
          <w:p w:rsidR="00FA7CE1" w:rsidRDefault="00BB26E4">
            <w:pPr>
              <w:pStyle w:val="western"/>
              <w:suppressAutoHyphens/>
              <w:spacing w:beforeAutospacing="0"/>
              <w:rPr>
                <w:bCs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41F83D0">
                      <wp:extent cx="3572510" cy="1870710"/>
                      <wp:effectExtent l="0" t="0" r="0" b="0"/>
                      <wp:docPr id="3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4"/>
                              <pic:cNvPicPr/>
                            </pic:nvPicPr>
                            <pic:blipFill>
                              <a:blip r:embed="rId15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6">
                                        <a14:imgEffect>
                                          <a14:saturation sat="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3571920" cy="187020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4" stroked="f" style="position:absolute;margin-left:0pt;margin-top:-147.3pt;width:281.2pt;height:147.2pt;mso-wrap-style:none;v-text-anchor:middle;mso-position-vertical:top" wp14:anchorId="341F83D0" type="shapetype_75">
                      <v:imagedata r:id="rId17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</w:tc>
      </w:tr>
      <w:tr w:rsidR="00FA7CE1" w:rsidTr="00375F6C">
        <w:trPr>
          <w:trHeight w:val="6930"/>
        </w:trPr>
        <w:tc>
          <w:tcPr>
            <w:tcW w:w="1673" w:type="dxa"/>
          </w:tcPr>
          <w:p w:rsidR="00FA7CE1" w:rsidRDefault="00BB26E4">
            <w:pPr>
              <w:widowControl w:val="0"/>
              <w:jc w:val="both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  <w:lang w:eastAsia="en-US"/>
              </w:rPr>
              <w:lastRenderedPageBreak/>
              <w:t>ПКП-4 Способность управления казначейскими рисками</w:t>
            </w:r>
          </w:p>
        </w:tc>
        <w:tc>
          <w:tcPr>
            <w:tcW w:w="2833" w:type="dxa"/>
          </w:tcPr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  <w:lang w:eastAsia="en-US"/>
              </w:rPr>
              <w:t xml:space="preserve">1. Владеет приемами </w:t>
            </w:r>
            <w:r>
              <w:rPr>
                <w:sz w:val="20"/>
                <w:szCs w:val="22"/>
                <w:lang w:eastAsia="en-US"/>
              </w:rPr>
              <w:t>идентификации казначейских рисков.</w:t>
            </w:r>
          </w:p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2"/>
              </w:rPr>
            </w:pP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  <w:lang w:eastAsia="en-US"/>
              </w:rPr>
              <w:t>2. Применяет методику оценки казначейских рисков.</w:t>
            </w:r>
          </w:p>
          <w:p w:rsidR="00FA7CE1" w:rsidRDefault="00FA7CE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2"/>
              </w:rPr>
            </w:pPr>
          </w:p>
          <w:p w:rsidR="00FA7CE1" w:rsidRDefault="00BB26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  <w:lang w:eastAsia="en-US"/>
              </w:rPr>
              <w:t>3. Обосновывает решения по повышению эффективности управления казначейскими рисками.</w:t>
            </w:r>
          </w:p>
        </w:tc>
        <w:tc>
          <w:tcPr>
            <w:tcW w:w="3856" w:type="dxa"/>
          </w:tcPr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b/>
                <w:i/>
                <w:sz w:val="20"/>
                <w:szCs w:val="22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2"/>
                <w:lang w:eastAsia="en-US"/>
              </w:rPr>
              <w:t>: особенности и способы идентификации казначейских рисков.</w:t>
            </w:r>
          </w:p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b/>
                <w:i/>
                <w:sz w:val="20"/>
                <w:szCs w:val="22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: использовать </w:t>
            </w:r>
            <w:r>
              <w:rPr>
                <w:rFonts w:eastAsia="Calibri"/>
                <w:sz w:val="20"/>
                <w:szCs w:val="22"/>
                <w:lang w:eastAsia="en-US"/>
              </w:rPr>
              <w:t>инструменты идентификации, обобщения и анализа казначейских рисков.</w:t>
            </w:r>
          </w:p>
          <w:p w:rsidR="00FA7CE1" w:rsidRDefault="00FA7CE1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</w:p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b/>
                <w:i/>
                <w:sz w:val="20"/>
                <w:szCs w:val="22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: методику оценки казначейских рисков. </w:t>
            </w:r>
          </w:p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b/>
                <w:i/>
                <w:sz w:val="20"/>
                <w:szCs w:val="22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2"/>
                <w:lang w:eastAsia="en-US"/>
              </w:rPr>
              <w:t>: применять методику оценки казначейских рисков для решения профессиональных задач.</w:t>
            </w:r>
          </w:p>
          <w:p w:rsidR="00FA7CE1" w:rsidRDefault="00FA7CE1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</w:p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b/>
                <w:i/>
                <w:sz w:val="20"/>
                <w:szCs w:val="22"/>
                <w:lang w:eastAsia="en-US"/>
              </w:rPr>
              <w:t>Знать</w:t>
            </w:r>
            <w:r>
              <w:rPr>
                <w:rFonts w:eastAsia="Calibri"/>
                <w:sz w:val="20"/>
                <w:szCs w:val="22"/>
                <w:lang w:eastAsia="en-US"/>
              </w:rPr>
              <w:t>: направления повышения эффективности управлени</w:t>
            </w:r>
            <w:r>
              <w:rPr>
                <w:rFonts w:eastAsia="Calibri"/>
                <w:sz w:val="20"/>
                <w:szCs w:val="22"/>
                <w:lang w:eastAsia="en-US"/>
              </w:rPr>
              <w:t>я казначейскими рисками.</w:t>
            </w:r>
          </w:p>
          <w:p w:rsidR="00FA7CE1" w:rsidRDefault="00BB26E4">
            <w:pPr>
              <w:widowControl w:val="0"/>
              <w:contextualSpacing/>
              <w:jc w:val="both"/>
              <w:rPr>
                <w:rFonts w:eastAsia="Calibri"/>
                <w:sz w:val="20"/>
                <w:szCs w:val="22"/>
                <w:highlight w:val="yellow"/>
              </w:rPr>
            </w:pPr>
            <w:r>
              <w:rPr>
                <w:rFonts w:eastAsia="Calibri"/>
                <w:b/>
                <w:i/>
                <w:sz w:val="20"/>
                <w:szCs w:val="22"/>
                <w:lang w:eastAsia="en-US"/>
              </w:rPr>
              <w:t>Уметь</w:t>
            </w:r>
            <w:r>
              <w:rPr>
                <w:rFonts w:eastAsia="Calibri"/>
                <w:sz w:val="20"/>
                <w:szCs w:val="22"/>
                <w:lang w:eastAsia="en-US"/>
              </w:rPr>
              <w:t>: собирать, обобщать и анализировать информацию для управления казначейскими рисками.</w:t>
            </w:r>
          </w:p>
        </w:tc>
        <w:tc>
          <w:tcPr>
            <w:tcW w:w="5954" w:type="dxa"/>
          </w:tcPr>
          <w:p w:rsidR="00FA7CE1" w:rsidRDefault="00BB26E4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lang w:eastAsia="en-US"/>
              </w:rPr>
              <w:t>Задание 1.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Сравните характеристики основных казначейских рисков через призму классификатора внутренних (операционных) казначейских рисков по</w:t>
            </w:r>
            <w:r>
              <w:rPr>
                <w:sz w:val="20"/>
                <w:lang w:eastAsia="en-US"/>
              </w:rPr>
              <w:t xml:space="preserve"> направлениям деятельности управления Федерального казначейства по субъекту Российской Федерации (субъектам Российской Федерации, находящимся в границах федерального округа) программных продуктов, применяемые контрольно-счетными органами субъектов РФ. Сдел</w:t>
            </w:r>
            <w:r>
              <w:rPr>
                <w:sz w:val="20"/>
                <w:lang w:eastAsia="en-US"/>
              </w:rPr>
              <w:t>айте выводы, дав сравнительную характеристику. (На примере 3 рисков из направлений деятельности I-III).</w:t>
            </w:r>
          </w:p>
          <w:p w:rsidR="00FA7CE1" w:rsidRDefault="00FA7CE1">
            <w:pPr>
              <w:tabs>
                <w:tab w:val="left" w:pos="0"/>
              </w:tabs>
              <w:jc w:val="both"/>
              <w:rPr>
                <w:sz w:val="20"/>
              </w:rPr>
            </w:pPr>
          </w:p>
          <w:p w:rsidR="00FA7CE1" w:rsidRDefault="00BB26E4">
            <w:pPr>
              <w:tabs>
                <w:tab w:val="left" w:pos="0"/>
              </w:tabs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lang w:eastAsia="en-US"/>
              </w:rPr>
              <w:t>Задание 2.</w:t>
            </w:r>
          </w:p>
          <w:p w:rsidR="00FA7CE1" w:rsidRDefault="00BB26E4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>Проведите анализ Способов реагирования на казначейские риски. Заполните таблицу.</w:t>
            </w:r>
          </w:p>
          <w:tbl>
            <w:tblPr>
              <w:tblW w:w="5579" w:type="dxa"/>
              <w:tblLayout w:type="fixed"/>
              <w:tblLook w:val="0000" w:firstRow="0" w:lastRow="0" w:firstColumn="0" w:lastColumn="0" w:noHBand="0" w:noVBand="0"/>
            </w:tblPr>
            <w:tblGrid>
              <w:gridCol w:w="2059"/>
              <w:gridCol w:w="1768"/>
              <w:gridCol w:w="1752"/>
            </w:tblGrid>
            <w:tr w:rsidR="00FA7CE1">
              <w:trPr>
                <w:trHeight w:val="21"/>
              </w:trPr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BB26E4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>Наименование способа реагирования на риск</w:t>
                  </w:r>
                </w:p>
              </w:tc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BB26E4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Особенности </w:t>
                  </w:r>
                  <w:r>
                    <w:rPr>
                      <w:sz w:val="20"/>
                      <w:lang w:eastAsia="en-US"/>
                    </w:rPr>
                    <w:t>способа реагирования</w:t>
                  </w:r>
                </w:p>
              </w:tc>
              <w:tc>
                <w:tcPr>
                  <w:tcW w:w="1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BB26E4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>На каких этапах применяется</w:t>
                  </w:r>
                </w:p>
              </w:tc>
            </w:tr>
            <w:tr w:rsidR="00FA7CE1">
              <w:trPr>
                <w:trHeight w:val="150"/>
              </w:trPr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BB26E4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>Принятие казначейского риска</w:t>
                  </w:r>
                </w:p>
              </w:tc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FA7CE1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FA7CE1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</w:p>
              </w:tc>
            </w:tr>
            <w:tr w:rsidR="00FA7CE1">
              <w:trPr>
                <w:trHeight w:val="155"/>
              </w:trPr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BB26E4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>Избежание казначейского риска</w:t>
                  </w:r>
                </w:p>
              </w:tc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FA7CE1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FA7CE1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</w:p>
              </w:tc>
            </w:tr>
            <w:tr w:rsidR="00FA7CE1">
              <w:trPr>
                <w:trHeight w:val="150"/>
              </w:trPr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BB26E4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>Контроль (снижение) казначейского риска</w:t>
                  </w:r>
                </w:p>
              </w:tc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FA7CE1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A7CE1" w:rsidRDefault="00FA7CE1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0"/>
                      <w:lang w:eastAsia="en-US"/>
                    </w:rPr>
                  </w:pPr>
                </w:p>
              </w:tc>
            </w:tr>
          </w:tbl>
          <w:p w:rsidR="00FA7CE1" w:rsidRDefault="00FA7CE1">
            <w:pPr>
              <w:widowControl w:val="0"/>
              <w:tabs>
                <w:tab w:val="left" w:pos="0"/>
              </w:tabs>
              <w:rPr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:rsidR="00FA7CE1" w:rsidRDefault="00FA7CE1">
      <w:pPr>
        <w:rPr>
          <w:highlight w:val="yellow"/>
        </w:rPr>
        <w:sectPr w:rsidR="00FA7CE1">
          <w:footerReference w:type="default" r:id="rId18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FA7CE1" w:rsidRDefault="00BB26E4">
      <w:pPr>
        <w:widowControl w:val="0"/>
        <w:spacing w:line="360" w:lineRule="auto"/>
        <w:ind w:firstLine="709"/>
        <w:jc w:val="both"/>
        <w:rPr>
          <w:i/>
        </w:rPr>
      </w:pPr>
      <w:bookmarkStart w:id="27" w:name="_Toc13770909"/>
      <w:bookmarkStart w:id="28" w:name="_Toc13762619"/>
      <w:r>
        <w:rPr>
          <w:b/>
          <w:i/>
          <w:sz w:val="28"/>
          <w:szCs w:val="28"/>
        </w:rPr>
        <w:lastRenderedPageBreak/>
        <w:t>Примерный перечень вопросов для подготовки к зачету: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Понятие и классификация казначейских рисков.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Классификатор казначейских рисков, цели и задачи создания.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Основные источники казначейских рисков при создании классификатора Федерального казначейства.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Правовое регулирование и стандартизация управления казна</w:t>
      </w:r>
      <w:r>
        <w:rPr>
          <w:sz w:val="28"/>
          <w:szCs w:val="28"/>
        </w:rPr>
        <w:t xml:space="preserve">чейскими рисками в Российской Федерации.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Организация информационного взаимодействия Счетной палаты Российской Федерации с органами внутреннего</w:t>
      </w:r>
      <w:r>
        <w:rPr>
          <w:color w:val="000000"/>
          <w:sz w:val="28"/>
          <w:szCs w:val="28"/>
        </w:rPr>
        <w:t xml:space="preserve"> государственного финансового контроля (Федеральное казначейство).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>Мероприятия по идентификации казначейских рис</w:t>
      </w:r>
      <w:r>
        <w:rPr>
          <w:color w:val="000000"/>
          <w:sz w:val="28"/>
          <w:szCs w:val="28"/>
        </w:rPr>
        <w:t xml:space="preserve">ков.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Необходимость, содержание, цели </w:t>
      </w:r>
      <w:r>
        <w:rPr>
          <w:bCs/>
          <w:sz w:val="28"/>
          <w:szCs w:val="28"/>
        </w:rPr>
        <w:t xml:space="preserve">и </w:t>
      </w:r>
      <w:r>
        <w:rPr>
          <w:sz w:val="28"/>
          <w:szCs w:val="28"/>
        </w:rPr>
        <w:t>задачи управления казначейскими.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>Опыт Федерального казначейства по управлению казначейскими рисками.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>Этапы управления казначейскими рисками.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 Основные характеристики при </w:t>
      </w:r>
      <w:r>
        <w:rPr>
          <w:sz w:val="28"/>
          <w:szCs w:val="28"/>
        </w:rPr>
        <w:t>выявлении и идентификации казначейских рисков</w:t>
      </w:r>
      <w:r>
        <w:rPr>
          <w:color w:val="000000"/>
          <w:sz w:val="28"/>
          <w:szCs w:val="28"/>
        </w:rPr>
        <w:t>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 Основные характеристики процесса оценки казначейских рисков</w:t>
      </w:r>
      <w:r>
        <w:rPr>
          <w:sz w:val="28"/>
          <w:szCs w:val="28"/>
        </w:rPr>
        <w:t>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 Оценка степени влияния и вероятности казначейских рисков.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 Процесс мониторинг казначейских рисков, основные участники</w:t>
      </w:r>
      <w:r>
        <w:rPr>
          <w:sz w:val="28"/>
          <w:szCs w:val="28"/>
        </w:rPr>
        <w:t>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 Полномочия участников мониторинга казначейских рисков.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 Характеристика </w:t>
      </w:r>
      <w:r>
        <w:rPr>
          <w:sz w:val="28"/>
          <w:szCs w:val="28"/>
        </w:rPr>
        <w:t>результата мониторинга казначейских рисков, а также его влияние на принятие управленческих решений.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Планирование контрольной и аудиторской деятельности на основе мониторинга казначейских рисков.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 Реестр казначейских рисков, его назначение и особенности при</w:t>
      </w:r>
      <w:r>
        <w:rPr>
          <w:color w:val="000000"/>
          <w:sz w:val="28"/>
          <w:szCs w:val="28"/>
        </w:rPr>
        <w:t xml:space="preserve">менения.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 Процесс актуализации реестра казначейских рисков.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Инструменты управления казначейскими рисками.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>Участники управления казначейскими рисками, их полномочия.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Организация управления казначейскими рисками в органах Федерального казначейства.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Методич</w:t>
      </w:r>
      <w:r>
        <w:rPr>
          <w:sz w:val="28"/>
          <w:szCs w:val="28"/>
        </w:rPr>
        <w:t>еские подходы к оценке казначейских рисков.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Показатели и критерии оценки казначейских рисков.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Контроль казначейских рисков: содержание, направления и инструменты.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Эффективность системы управления казначейскими рисками, подходы и критерии оценки.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рисками и организация корпоративного казначейства.  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Подходы к корпоративному управлению казначейскими рисками.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казначейских рисков на деятельность организации.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казначейских операций для повышения эффективности управления казначейск</w:t>
      </w:r>
      <w:r>
        <w:rPr>
          <w:sz w:val="28"/>
          <w:szCs w:val="28"/>
        </w:rPr>
        <w:t>ими рисками.</w:t>
      </w:r>
    </w:p>
    <w:p w:rsidR="00FA7CE1" w:rsidRDefault="00BB26E4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расширения казначейских функций.</w:t>
      </w:r>
    </w:p>
    <w:p w:rsidR="00FA7CE1" w:rsidRDefault="00FA7CE1">
      <w:pPr>
        <w:pStyle w:val="1"/>
        <w:ind w:firstLine="709"/>
        <w:jc w:val="both"/>
        <w:rPr>
          <w:b/>
          <w:sz w:val="28"/>
          <w:szCs w:val="28"/>
          <w:highlight w:val="yellow"/>
        </w:rPr>
      </w:pPr>
    </w:p>
    <w:p w:rsidR="00FA7CE1" w:rsidRDefault="00BB26E4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7"/>
      <w:bookmarkEnd w:id="28"/>
    </w:p>
    <w:p w:rsidR="00FA7CE1" w:rsidRDefault="00BB26E4">
      <w:pPr>
        <w:pStyle w:val="2"/>
        <w:spacing w:line="360" w:lineRule="auto"/>
        <w:ind w:firstLine="709"/>
        <w:jc w:val="left"/>
        <w:rPr>
          <w:bCs/>
          <w:iCs/>
        </w:rPr>
      </w:pPr>
      <w:bookmarkStart w:id="29" w:name="_Toc13770910"/>
      <w:bookmarkStart w:id="30" w:name="_Toc13762620"/>
      <w:r>
        <w:rPr>
          <w:bCs/>
          <w:iCs/>
        </w:rPr>
        <w:t>8.1. Нормативные правовые акты</w:t>
      </w:r>
      <w:bookmarkEnd w:id="29"/>
      <w:bookmarkEnd w:id="30"/>
    </w:p>
    <w:p w:rsidR="00FA7CE1" w:rsidRDefault="00BB26E4">
      <w:pPr>
        <w:pStyle w:val="afff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кодекс Российской Федерации от 31.07.1998 № 145-ФЗ. </w:t>
      </w:r>
    </w:p>
    <w:p w:rsidR="00FA7CE1" w:rsidRDefault="00BB26E4">
      <w:pPr>
        <w:pStyle w:val="afff3"/>
        <w:numPr>
          <w:ilvl w:val="0"/>
          <w:numId w:val="3"/>
        </w:numPr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1" w:name="_Toc13770911"/>
      <w:bookmarkStart w:id="32" w:name="_Toc13762621"/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t>Федеральном казначействе: Постановление Правительства Российской Федерации от 01.12.2004 №703</w:t>
      </w:r>
    </w:p>
    <w:p w:rsidR="00FA7CE1" w:rsidRDefault="00BB26E4">
      <w:pPr>
        <w:pStyle w:val="afff3"/>
        <w:numPr>
          <w:ilvl w:val="0"/>
          <w:numId w:val="3"/>
        </w:numPr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Стандарта управления внутренними (операционными) казначейскими рисками в Федеральном казначействе: Приказ Казначейства России от 16.12.2020 № 371</w:t>
      </w:r>
    </w:p>
    <w:p w:rsidR="00FA7CE1" w:rsidRDefault="00BB26E4">
      <w:pPr>
        <w:pStyle w:val="afff3"/>
        <w:numPr>
          <w:ilvl w:val="0"/>
          <w:numId w:val="3"/>
        </w:numPr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>б утверждении Положения об управлении внутренними (операционными) казначейскими рисками, внутреннем контроле и внутреннем аудите в Федеральном казначействе: Приказ Казначейства России от 29.06.2020 № 200</w:t>
      </w:r>
    </w:p>
    <w:p w:rsidR="00FA7CE1" w:rsidRDefault="00FA7CE1">
      <w:pPr>
        <w:rPr>
          <w:highlight w:val="yellow"/>
        </w:rPr>
      </w:pPr>
    </w:p>
    <w:p w:rsidR="00FA7CE1" w:rsidRDefault="00FA7CE1"/>
    <w:p w:rsidR="00FA7CE1" w:rsidRDefault="00BB26E4">
      <w:pPr>
        <w:pStyle w:val="2"/>
        <w:spacing w:line="360" w:lineRule="auto"/>
        <w:ind w:firstLine="709"/>
        <w:jc w:val="left"/>
        <w:rPr>
          <w:bCs/>
          <w:iCs/>
          <w:szCs w:val="28"/>
        </w:rPr>
      </w:pPr>
      <w:r>
        <w:rPr>
          <w:bCs/>
          <w:iCs/>
        </w:rPr>
        <w:lastRenderedPageBreak/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31"/>
      <w:bookmarkEnd w:id="32"/>
    </w:p>
    <w:p w:rsidR="00FA7CE1" w:rsidRDefault="00BB26E4">
      <w:pPr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8.2.1. Основная:</w:t>
      </w:r>
    </w:p>
    <w:p w:rsidR="00FA7CE1" w:rsidRDefault="00BB26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Акперов, И.Г. Казначейская система исполнения бюджета в Российской Федерации: учеб. пособие / И.Г. Акперов, И.А. Коноплева, С.П. Головач. — 3-е изд., стер. – Москва: КноРус, 2021. — 633 с. — ЭБС BOOK.RU. — URL:https://book.ru/book/936269 (дата обращения: </w:t>
      </w:r>
      <w:r>
        <w:rPr>
          <w:color w:val="000000"/>
          <w:sz w:val="28"/>
          <w:szCs w:val="28"/>
        </w:rPr>
        <w:t>08.04.2023). — Текст: электронный.</w:t>
      </w:r>
    </w:p>
    <w:p w:rsidR="00FA7CE1" w:rsidRDefault="00BB26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Рызин, Д. А., Управление финансовыми рисками : учебник / Д. А. Рызин, ; под ред. В. В. Мануйленко. — Москва : КноРус, 2023. — 313 с. — ISBN 978-5-406-10744-7. — URL: https://book.ru/book/947619 (дата обращения: 16.05.2</w:t>
      </w:r>
      <w:r>
        <w:rPr>
          <w:color w:val="000000"/>
          <w:sz w:val="28"/>
          <w:szCs w:val="28"/>
        </w:rPr>
        <w:t xml:space="preserve">023). </w:t>
      </w:r>
    </w:p>
    <w:p w:rsidR="00FA7CE1" w:rsidRDefault="00FA7CE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A7CE1" w:rsidRDefault="00BB26E4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:rsidR="00FA7CE1" w:rsidRDefault="00BB26E4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Финансы : учеб. для студентов вузов, обуч. по напр. подгот. «Экономика» (квалиф. (уровень) «бакалавр») / М. Л. Васюнина, О. С. Горлова, Т. Ю. Киселева [и др.] ; под ред. Е. В. Маркиной ; Финуниверситет. – 3-е изд., стер. –</w:t>
      </w:r>
      <w:r>
        <w:rPr>
          <w:color w:val="000000"/>
          <w:sz w:val="28"/>
          <w:szCs w:val="28"/>
        </w:rPr>
        <w:t xml:space="preserve"> Москва : КноРус, 2021. – 424 с. – (Бакалавриат). – ЭБС BOOK.RU. – URL: https://book.ru/book/936343 (дата обращения: 08.04.2023). – Текст : электронный.</w:t>
      </w:r>
    </w:p>
    <w:p w:rsidR="00FA7CE1" w:rsidRDefault="00BB26E4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Яковлев, В. М. Риск-ориентированный подход к модернизации корпоративного управления : учеб. пособие </w:t>
      </w:r>
      <w:r>
        <w:rPr>
          <w:color w:val="000000"/>
          <w:sz w:val="28"/>
          <w:szCs w:val="28"/>
        </w:rPr>
        <w:t xml:space="preserve">/ В. М. Яковлев ; Финуниверситет. — Москва : КноРус, 2023. — 142 с. — ISBN 978-5-406-10389-0. — </w:t>
      </w:r>
      <w:r>
        <w:rPr>
          <w:iCs/>
          <w:color w:val="000000"/>
          <w:sz w:val="28"/>
          <w:szCs w:val="28"/>
        </w:rPr>
        <w:t>ЭБС BOOK.RU.</w:t>
      </w:r>
      <w:r>
        <w:rPr>
          <w:b/>
          <w:bCs/>
          <w:iCs/>
          <w:color w:val="000000"/>
          <w:sz w:val="28"/>
          <w:szCs w:val="28"/>
        </w:rPr>
        <w:t xml:space="preserve"> —</w:t>
      </w:r>
      <w:r>
        <w:rPr>
          <w:color w:val="000000"/>
          <w:sz w:val="28"/>
          <w:szCs w:val="28"/>
        </w:rPr>
        <w:t>URL: https://book.ru/book/945188 (дата обращения: 16.05.2023). — Текст : электронный.</w:t>
      </w:r>
    </w:p>
    <w:p w:rsidR="00FA7CE1" w:rsidRDefault="00FA7CE1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FA7CE1" w:rsidRDefault="00BB26E4">
      <w:pPr>
        <w:pStyle w:val="1"/>
        <w:ind w:firstLine="709"/>
        <w:jc w:val="both"/>
        <w:rPr>
          <w:b/>
          <w:sz w:val="28"/>
          <w:szCs w:val="28"/>
        </w:rPr>
      </w:pPr>
      <w:bookmarkStart w:id="33" w:name="_Toc13770912"/>
      <w:bookmarkStart w:id="34" w:name="_Toc13762622"/>
      <w:r>
        <w:rPr>
          <w:b/>
          <w:sz w:val="28"/>
          <w:szCs w:val="28"/>
        </w:rPr>
        <w:t>9. Перечень ресурсов информационно-телекоммуникационной сет</w:t>
      </w:r>
      <w:r>
        <w:rPr>
          <w:b/>
          <w:sz w:val="28"/>
          <w:szCs w:val="28"/>
        </w:rPr>
        <w:t>и «Интернет», необходимых для освоения дисциплины:</w:t>
      </w:r>
      <w:bookmarkEnd w:id="33"/>
      <w:bookmarkEnd w:id="34"/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9">
        <w:r>
          <w:rPr>
            <w:sz w:val="28"/>
            <w:szCs w:val="28"/>
          </w:rPr>
          <w:t>http://elib.fa.ru/</w:t>
        </w:r>
      </w:hyperlink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0">
        <w:r>
          <w:rPr>
            <w:sz w:val="28"/>
            <w:szCs w:val="28"/>
          </w:rPr>
          <w:t>http://www.book.</w:t>
        </w:r>
        <w:r>
          <w:rPr>
            <w:sz w:val="28"/>
            <w:szCs w:val="28"/>
          </w:rPr>
          <w:t>ru</w:t>
        </w:r>
      </w:hyperlink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biblioclub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 </w:t>
      </w:r>
      <w:hyperlink r:id="rId22">
        <w:r>
          <w:rPr>
            <w:sz w:val="28"/>
            <w:szCs w:val="28"/>
          </w:rPr>
          <w:t>http://www.znanium.com</w:t>
        </w:r>
      </w:hyperlink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Электронно-библиотечная система издательства «ЮРАЙТ» </w:t>
      </w:r>
      <w:hyperlink r:id="rId23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biblio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hyperlink r:id="rId24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elibrary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 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</w:t>
      </w:r>
      <w:r>
        <w:rPr>
          <w:sz w:val="28"/>
          <w:szCs w:val="28"/>
        </w:rPr>
        <w:t xml:space="preserve">ека </w:t>
      </w:r>
      <w:hyperlink r:id="rId25">
        <w:r>
          <w:rPr>
            <w:sz w:val="28"/>
            <w:szCs w:val="28"/>
          </w:rPr>
          <w:t>http://grebennikon.ru</w:t>
        </w:r>
      </w:hyperlink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6">
        <w:r>
          <w:rPr>
            <w:sz w:val="28"/>
            <w:szCs w:val="28"/>
          </w:rPr>
          <w:t>http://нэб.рф/</w:t>
        </w:r>
      </w:hyperlink>
    </w:p>
    <w:p w:rsidR="00FA7CE1" w:rsidRDefault="00BB26E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27">
        <w:r>
          <w:rPr>
            <w:bCs/>
            <w:sz w:val="28"/>
            <w:szCs w:val="28"/>
          </w:rPr>
          <w:t>https://dvs.rsl.ru/</w:t>
        </w:r>
      </w:hyperlink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28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r>
          <w:rPr>
            <w:sz w:val="28"/>
            <w:szCs w:val="28"/>
            <w:lang w:val="en-US"/>
          </w:rPr>
          <w:t>fd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</w:p>
    <w:p w:rsidR="00FA7CE1" w:rsidRDefault="00FA7CE1">
      <w:pPr>
        <w:spacing w:line="360" w:lineRule="auto"/>
        <w:ind w:firstLine="709"/>
        <w:jc w:val="both"/>
        <w:rPr>
          <w:b/>
          <w:sz w:val="28"/>
          <w:szCs w:val="28"/>
          <w:highlight w:val="yellow"/>
        </w:rPr>
      </w:pP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5" w:name="_Toc13770913"/>
      <w:bookmarkStart w:id="36" w:name="_Toc1376262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5"/>
      <w:bookmarkEnd w:id="36"/>
    </w:p>
    <w:p w:rsidR="00FA7CE1" w:rsidRDefault="00BB26E4">
      <w:pPr>
        <w:pStyle w:val="a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</w:t>
      </w:r>
      <w:r>
        <w:rPr>
          <w:sz w:val="28"/>
          <w:szCs w:val="28"/>
        </w:rPr>
        <w:t xml:space="preserve">ивные документы Финансового университета - </w:t>
      </w:r>
      <w:bookmarkStart w:id="37" w:name="_Hlk74164860"/>
      <w:r>
        <w:rPr>
          <w:sz w:val="28"/>
          <w:szCs w:val="28"/>
        </w:rPr>
        <w:t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</w:t>
      </w:r>
      <w:r>
        <w:rPr>
          <w:sz w:val="28"/>
          <w:szCs w:val="28"/>
        </w:rPr>
        <w:t xml:space="preserve"> магистратуры в Финансовом университете» </w:t>
      </w:r>
      <w:bookmarkEnd w:id="37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FA7CE1" w:rsidRDefault="00FA7CE1">
      <w:pPr>
        <w:pStyle w:val="1"/>
        <w:ind w:firstLine="709"/>
        <w:jc w:val="both"/>
        <w:rPr>
          <w:b/>
          <w:sz w:val="28"/>
          <w:szCs w:val="28"/>
        </w:rPr>
      </w:pPr>
    </w:p>
    <w:p w:rsidR="00FA7CE1" w:rsidRDefault="00BB26E4">
      <w:pPr>
        <w:pStyle w:val="1"/>
        <w:ind w:firstLine="709"/>
        <w:jc w:val="both"/>
        <w:rPr>
          <w:b/>
          <w:sz w:val="28"/>
          <w:szCs w:val="28"/>
        </w:rPr>
      </w:pPr>
      <w:bookmarkStart w:id="38" w:name="_Toc13770915"/>
      <w:bookmarkStart w:id="39" w:name="_Toc13762625"/>
      <w:bookmarkStart w:id="40" w:name="_Toc529894771"/>
      <w:r>
        <w:rPr>
          <w:b/>
          <w:sz w:val="28"/>
          <w:szCs w:val="28"/>
        </w:rPr>
        <w:t>11. Переч</w:t>
      </w:r>
      <w:r>
        <w:rPr>
          <w:b/>
          <w:sz w:val="28"/>
          <w:szCs w:val="28"/>
        </w:rPr>
        <w:t>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  <w:bookmarkEnd w:id="39"/>
      <w:bookmarkEnd w:id="40"/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FA7CE1" w:rsidRPr="00375F6C" w:rsidRDefault="00BB26E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Windows</w:t>
      </w:r>
      <w:r w:rsidRPr="00375F6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375F6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375F6C">
        <w:rPr>
          <w:sz w:val="28"/>
          <w:szCs w:val="28"/>
          <w:lang w:val="en-US"/>
        </w:rPr>
        <w:t xml:space="preserve">, </w:t>
      </w:r>
    </w:p>
    <w:p w:rsidR="00FA7CE1" w:rsidRPr="00375F6C" w:rsidRDefault="00BB26E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Антивирус</w:t>
      </w:r>
      <w:r w:rsidRPr="00375F6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375F6C">
        <w:rPr>
          <w:sz w:val="28"/>
          <w:szCs w:val="28"/>
          <w:lang w:val="en-US"/>
        </w:rPr>
        <w:t xml:space="preserve"> </w:t>
      </w:r>
    </w:p>
    <w:p w:rsidR="00FA7CE1" w:rsidRPr="00375F6C" w:rsidRDefault="00FA7CE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75F6C">
        <w:rPr>
          <w:b/>
          <w:sz w:val="28"/>
          <w:szCs w:val="28"/>
          <w:lang w:val="en-US"/>
        </w:rPr>
        <w:lastRenderedPageBreak/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</w:t>
      </w:r>
      <w:r>
        <w:rPr>
          <w:sz w:val="28"/>
          <w:szCs w:val="28"/>
        </w:rPr>
        <w:t>.ru).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9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FA7CE1" w:rsidRDefault="00BB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FA7CE1" w:rsidRDefault="00BB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FA7CE1" w:rsidRDefault="00BB26E4">
      <w:pPr>
        <w:pStyle w:val="1"/>
        <w:ind w:firstLine="709"/>
        <w:jc w:val="both"/>
        <w:rPr>
          <w:b/>
          <w:sz w:val="28"/>
          <w:szCs w:val="28"/>
        </w:rPr>
      </w:pPr>
      <w:bookmarkStart w:id="41" w:name="_Toc13770916"/>
      <w:bookmarkStart w:id="42" w:name="_Toc13762626"/>
      <w:bookmarkStart w:id="43" w:name="_Toc529894772"/>
      <w:r>
        <w:rPr>
          <w:b/>
          <w:sz w:val="28"/>
          <w:szCs w:val="28"/>
        </w:rPr>
        <w:t>12. Описание материально-те</w:t>
      </w:r>
      <w:r>
        <w:rPr>
          <w:b/>
          <w:sz w:val="28"/>
          <w:szCs w:val="28"/>
        </w:rPr>
        <w:t>хнической базы, необходимой для осуществления образовательного процесса по дисциплине</w:t>
      </w:r>
      <w:bookmarkEnd w:id="41"/>
      <w:bookmarkEnd w:id="42"/>
      <w:bookmarkEnd w:id="43"/>
    </w:p>
    <w:p w:rsidR="00FA7CE1" w:rsidRDefault="00BB26E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44" w:name="_Toc324441761"/>
      <w:bookmarkStart w:id="45" w:name="_Toc326701981"/>
      <w:bookmarkStart w:id="46" w:name="_Toc326701991"/>
      <w:bookmarkStart w:id="47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44"/>
      <w:bookmarkEnd w:id="45"/>
      <w:bookmarkEnd w:id="46"/>
      <w:bookmarkEnd w:id="47"/>
    </w:p>
    <w:sectPr w:rsidR="00FA7CE1">
      <w:footerReference w:type="default" r:id="rId30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6E4" w:rsidRDefault="00BB26E4">
      <w:r>
        <w:separator/>
      </w:r>
    </w:p>
  </w:endnote>
  <w:endnote w:type="continuationSeparator" w:id="0">
    <w:p w:rsidR="00BB26E4" w:rsidRDefault="00BB2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9762047"/>
      <w:docPartObj>
        <w:docPartGallery w:val="Page Numbers (Bottom of Page)"/>
        <w:docPartUnique/>
      </w:docPartObj>
    </w:sdtPr>
    <w:sdtEndPr/>
    <w:sdtContent>
      <w:p w:rsidR="00FA7CE1" w:rsidRDefault="00BB26E4">
        <w:pPr>
          <w:pStyle w:val="affb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375F6C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405361"/>
      <w:docPartObj>
        <w:docPartGallery w:val="Page Numbers (Bottom of Page)"/>
        <w:docPartUnique/>
      </w:docPartObj>
    </w:sdtPr>
    <w:sdtEndPr/>
    <w:sdtContent>
      <w:p w:rsidR="00FA7CE1" w:rsidRDefault="00BB26E4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75F6C">
          <w:rPr>
            <w:noProof/>
          </w:rPr>
          <w:t>17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895946"/>
      <w:docPartObj>
        <w:docPartGallery w:val="Page Numbers (Bottom of Page)"/>
        <w:docPartUnique/>
      </w:docPartObj>
    </w:sdtPr>
    <w:sdtEndPr/>
    <w:sdtContent>
      <w:p w:rsidR="00FA7CE1" w:rsidRDefault="00BB26E4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75F6C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6E4" w:rsidRDefault="00BB26E4">
      <w:r>
        <w:separator/>
      </w:r>
    </w:p>
  </w:footnote>
  <w:footnote w:type="continuationSeparator" w:id="0">
    <w:p w:rsidR="00BB26E4" w:rsidRDefault="00BB2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057B3"/>
    <w:multiLevelType w:val="multilevel"/>
    <w:tmpl w:val="83D64516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78667B3"/>
    <w:multiLevelType w:val="multilevel"/>
    <w:tmpl w:val="F222C3D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BF74E0D"/>
    <w:multiLevelType w:val="multilevel"/>
    <w:tmpl w:val="18AA7868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60C07451"/>
    <w:multiLevelType w:val="multilevel"/>
    <w:tmpl w:val="55668B4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12A5B1F"/>
    <w:multiLevelType w:val="multilevel"/>
    <w:tmpl w:val="01EC291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7D754B8"/>
    <w:multiLevelType w:val="multilevel"/>
    <w:tmpl w:val="C2F49496"/>
    <w:lvl w:ilvl="0">
      <w:start w:val="1"/>
      <w:numFmt w:val="bullet"/>
      <w:pStyle w:val="a0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E1"/>
    <w:rsid w:val="00375F6C"/>
    <w:rsid w:val="00BB26E4"/>
    <w:rsid w:val="00FA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6FD8"/>
  <w15:docId w15:val="{3B12F689-6BF4-4B00-B911-3CDF95F4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uiPriority w:val="99"/>
    <w:rsid w:val="007921E1"/>
    <w:rPr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link w:val="3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3">
    <w:name w:val="Основной текст 3 Знак"/>
    <w:basedOn w:val="a2"/>
    <w:link w:val="34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uiPriority w:val="99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character" w:customStyle="1" w:styleId="FontStyle12">
    <w:name w:val="Font Style12"/>
    <w:qFormat/>
    <w:rsid w:val="0038717B"/>
    <w:rPr>
      <w:rFonts w:ascii="Times New Roman" w:hAnsi="Times New Roman" w:cs="Times New Roman"/>
      <w:sz w:val="26"/>
      <w:szCs w:val="26"/>
    </w:rPr>
  </w:style>
  <w:style w:type="paragraph" w:styleId="aff1">
    <w:name w:val="Title"/>
    <w:basedOn w:val="a1"/>
    <w:next w:val="aff2"/>
    <w:qFormat/>
    <w:rsid w:val="002216AB"/>
    <w:pPr>
      <w:jc w:val="center"/>
    </w:pPr>
    <w:rPr>
      <w:szCs w:val="20"/>
      <w:u w:val="single"/>
    </w:rPr>
  </w:style>
  <w:style w:type="paragraph" w:styleId="af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4">
    <w:name w:val="List"/>
    <w:basedOn w:val="aff3"/>
    <w:rsid w:val="002216AB"/>
    <w:rPr>
      <w:rFonts w:cs="Tahoma"/>
    </w:rPr>
  </w:style>
  <w:style w:type="paragraph" w:styleId="aff5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1"/>
    <w:next w:val="af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2">
    <w:name w:val="Subtitle"/>
    <w:basedOn w:val="a1"/>
    <w:next w:val="aff3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8">
    <w:name w:val="Верхний и нижний колонтитулы"/>
    <w:basedOn w:val="a1"/>
    <w:qFormat/>
  </w:style>
  <w:style w:type="paragraph" w:styleId="af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">
    <w:name w:val="Основной текст 3 Знак2"/>
    <w:basedOn w:val="a1"/>
    <w:link w:val="31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главление 2 Знак2"/>
    <w:basedOn w:val="a1"/>
    <w:link w:val="24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a">
    <w:name w:val="footnote text"/>
    <w:basedOn w:val="a1"/>
    <w:rsid w:val="002216AB"/>
    <w:rPr>
      <w:sz w:val="20"/>
      <w:szCs w:val="20"/>
    </w:rPr>
  </w:style>
  <w:style w:type="paragraph" w:styleId="affb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4">
    <w:name w:val="toc 2"/>
    <w:basedOn w:val="a1"/>
    <w:next w:val="a1"/>
    <w:link w:val="220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1"/>
    <w:next w:val="a1"/>
    <w:rsid w:val="0008430B"/>
    <w:rPr>
      <w:sz w:val="28"/>
    </w:rPr>
  </w:style>
  <w:style w:type="paragraph" w:customStyle="1" w:styleId="affc">
    <w:name w:val="Содержимое таблицы"/>
    <w:basedOn w:val="a1"/>
    <w:qFormat/>
    <w:rsid w:val="002216AB"/>
    <w:pPr>
      <w:suppressLineNumbers/>
    </w:pPr>
  </w:style>
  <w:style w:type="paragraph" w:customStyle="1" w:styleId="affd">
    <w:name w:val="Заголовок таблицы"/>
    <w:basedOn w:val="affc"/>
    <w:qFormat/>
    <w:rsid w:val="002216AB"/>
    <w:pPr>
      <w:jc w:val="center"/>
    </w:pPr>
    <w:rPr>
      <w:b/>
      <w:bCs/>
    </w:rPr>
  </w:style>
  <w:style w:type="paragraph" w:styleId="35">
    <w:name w:val="toc 3"/>
    <w:aliases w:val="Оглавление 3 Знак1"/>
    <w:basedOn w:val="15"/>
    <w:link w:val="35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5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5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5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5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5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5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5"/>
    <w:qFormat/>
    <w:rsid w:val="002216AB"/>
    <w:pPr>
      <w:tabs>
        <w:tab w:val="right" w:leader="dot" w:pos="9637"/>
      </w:tabs>
      <w:ind w:left="2547"/>
    </w:pPr>
  </w:style>
  <w:style w:type="paragraph" w:customStyle="1" w:styleId="affe">
    <w:name w:val="Содержимое врезки"/>
    <w:basedOn w:val="af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6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2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3">
    <w:name w:val="List Paragraph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0">
    <w:name w:val="ТекстДок"/>
    <w:basedOn w:val="aff3"/>
    <w:autoRedefine/>
    <w:qFormat/>
    <w:rsid w:val="00F23806"/>
    <w:pPr>
      <w:numPr>
        <w:numId w:val="4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">
    <w:name w:val="Литература"/>
    <w:basedOn w:val="a1"/>
    <w:qFormat/>
    <w:rsid w:val="000631E5"/>
    <w:pPr>
      <w:numPr>
        <w:numId w:val="5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4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5">
    <w:name w:val="Заголовок отчета"/>
    <w:next w:val="afff4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6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7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8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a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9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5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7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6">
    <w:name w:val="заголовок 2"/>
    <w:basedOn w:val="a1"/>
    <w:next w:val="a1"/>
    <w:link w:val="211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uiPriority w:val="99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a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b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b">
    <w:name w:val="Стиль"/>
    <w:qFormat/>
    <w:rsid w:val="00AC0798"/>
    <w:rPr>
      <w:rFonts w:ascii="MS Sans Serif" w:hAnsi="MS Sans Serif"/>
      <w:szCs w:val="24"/>
    </w:rPr>
  </w:style>
  <w:style w:type="paragraph" w:customStyle="1" w:styleId="320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c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6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c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d">
    <w:name w:val="Наименование организации"/>
    <w:next w:val="aff9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e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">
    <w:name w:val="annotation text"/>
    <w:basedOn w:val="a1"/>
    <w:unhideWhenUsed/>
    <w:qFormat/>
    <w:rsid w:val="00AC0798"/>
    <w:rPr>
      <w:sz w:val="20"/>
      <w:szCs w:val="20"/>
    </w:rPr>
  </w:style>
  <w:style w:type="paragraph" w:styleId="affff0">
    <w:name w:val="annotation subject"/>
    <w:basedOn w:val="affff"/>
    <w:next w:val="affff"/>
    <w:unhideWhenUsed/>
    <w:qFormat/>
    <w:rsid w:val="00AC0798"/>
    <w:rPr>
      <w:b/>
      <w:bCs/>
      <w:lang w:val="x-none" w:eastAsia="x-none"/>
    </w:rPr>
  </w:style>
  <w:style w:type="paragraph" w:styleId="affff1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2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Style2">
    <w:name w:val="Style2"/>
    <w:basedOn w:val="a1"/>
    <w:qFormat/>
    <w:rsid w:val="0038717B"/>
    <w:pPr>
      <w:widowControl w:val="0"/>
      <w:spacing w:line="484" w:lineRule="exact"/>
      <w:ind w:firstLine="715"/>
      <w:jc w:val="both"/>
    </w:pPr>
  </w:style>
  <w:style w:type="paragraph" w:customStyle="1" w:styleId="38">
    <w:name w:val="Абзац списка3"/>
    <w:basedOn w:val="a1"/>
    <w:qFormat/>
    <w:rsid w:val="0038717B"/>
    <w:pPr>
      <w:ind w:left="720"/>
      <w:contextualSpacing/>
    </w:pPr>
    <w:rPr>
      <w:rFonts w:eastAsia="Calibri"/>
    </w:rPr>
  </w:style>
  <w:style w:type="paragraph" w:customStyle="1" w:styleId="western">
    <w:name w:val="western"/>
    <w:basedOn w:val="a1"/>
    <w:qFormat/>
    <w:rsid w:val="00AB342C"/>
    <w:pPr>
      <w:suppressAutoHyphens w:val="0"/>
      <w:spacing w:beforeAutospacing="1"/>
      <w:jc w:val="both"/>
    </w:pPr>
    <w:rPr>
      <w:sz w:val="28"/>
      <w:szCs w:val="28"/>
    </w:rPr>
  </w:style>
  <w:style w:type="numbering" w:styleId="affff3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d">
    <w:name w:val="Стиль1"/>
    <w:qFormat/>
    <w:rsid w:val="00AC0798"/>
  </w:style>
  <w:style w:type="numbering" w:customStyle="1" w:styleId="28">
    <w:name w:val="Оглавление 2 Знак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e">
    <w:name w:val="Нет списка1"/>
    <w:uiPriority w:val="99"/>
    <w:semiHidden/>
    <w:unhideWhenUsed/>
    <w:qFormat/>
    <w:rsid w:val="003E3DF3"/>
  </w:style>
  <w:style w:type="table" w:styleId="affff4">
    <w:name w:val="Table Grid"/>
    <w:basedOn w:val="a3"/>
    <w:uiPriority w:val="5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hdphoto" Target="media/hdphoto2.wdp"/><Relationship Id="rId18" Type="http://schemas.openxmlformats.org/officeDocument/2006/relationships/footer" Target="footer2.xml"/><Relationship Id="rId26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30.png"/><Relationship Id="rId25" Type="http://schemas.openxmlformats.org/officeDocument/2006/relationships/hyperlink" Target="http://grebennikon.ru/" TargetMode="Externa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hyperlink" Target="http://www.book.ru/" TargetMode="External"/><Relationship Id="rId29" Type="http://schemas.openxmlformats.org/officeDocument/2006/relationships/hyperlink" Target="http://portal.uf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24" Type="http://schemas.openxmlformats.org/officeDocument/2006/relationships/hyperlink" Target="http://elibrary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www.1fd.ru/" TargetMode="External"/><Relationship Id="rId10" Type="http://schemas.microsoft.com/office/2007/relationships/hdphoto" Target="media/hdphoto1.wdp"/><Relationship Id="rId19" Type="http://schemas.openxmlformats.org/officeDocument/2006/relationships/hyperlink" Target="http://elib.fa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0.png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dvs.rsl.ru/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B1630-455F-475B-BBE6-73097044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5716</Words>
  <Characters>32584</Characters>
  <Application>Microsoft Office Word</Application>
  <DocSecurity>0</DocSecurity>
  <Lines>271</Lines>
  <Paragraphs>76</Paragraphs>
  <ScaleCrop>false</ScaleCrop>
  <Company>*</Company>
  <LinksUpToDate>false</LinksUpToDate>
  <CharactersWithSpaces>38224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Иванова Наталья Петровна</cp:lastModifiedBy>
  <cp:revision>58</cp:revision>
  <cp:lastPrinted>2023-07-04T15:26:00Z</cp:lastPrinted>
  <dcterms:created xsi:type="dcterms:W3CDTF">2023-04-20T05:16:00Z</dcterms:created>
  <dcterms:modified xsi:type="dcterms:W3CDTF">2023-07-25T12:50:00Z</dcterms:modified>
  <dc:language>ru-RU</dc:language>
</cp:coreProperties>
</file>